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B4B4B" w14:textId="77777777" w:rsidR="00173901" w:rsidRPr="00173901" w:rsidRDefault="00173901" w:rsidP="00173901">
      <w:pPr>
        <w:rPr>
          <w:vanish/>
        </w:rPr>
      </w:pPr>
    </w:p>
    <w:tbl>
      <w:tblPr>
        <w:tblpPr w:vertAnchor="page" w:horzAnchor="page" w:tblpX="1702" w:tblpY="2836"/>
        <w:tblW w:w="9540" w:type="dxa"/>
        <w:tblLayout w:type="fixed"/>
        <w:tblCellMar>
          <w:left w:w="0" w:type="dxa"/>
          <w:right w:w="0" w:type="dxa"/>
        </w:tblCellMar>
        <w:tblLook w:val="01E0" w:firstRow="1" w:lastRow="1" w:firstColumn="1" w:lastColumn="1" w:noHBand="0" w:noVBand="0"/>
      </w:tblPr>
      <w:tblGrid>
        <w:gridCol w:w="6096"/>
        <w:gridCol w:w="855"/>
        <w:gridCol w:w="567"/>
        <w:gridCol w:w="2022"/>
      </w:tblGrid>
      <w:tr w:rsidR="00A1760D" w:rsidRPr="004335CC" w14:paraId="0E7B4B52" w14:textId="77777777" w:rsidTr="0052542F">
        <w:trPr>
          <w:trHeight w:hRule="exact" w:val="249"/>
        </w:trPr>
        <w:tc>
          <w:tcPr>
            <w:tcW w:w="6096" w:type="dxa"/>
            <w:vMerge w:val="restart"/>
            <w:shd w:val="clear" w:color="auto" w:fill="auto"/>
            <w:tcMar>
              <w:left w:w="0" w:type="dxa"/>
              <w:right w:w="0" w:type="dxa"/>
            </w:tcMar>
          </w:tcPr>
          <w:p w14:paraId="0E7B4B4C" w14:textId="77777777" w:rsidR="00437740" w:rsidRDefault="00140827" w:rsidP="00437740">
            <w:pPr>
              <w:pStyle w:val="Zpat"/>
              <w:tabs>
                <w:tab w:val="left" w:pos="708"/>
              </w:tabs>
              <w:rPr>
                <w:b/>
              </w:rPr>
            </w:pPr>
            <w:r w:rsidRPr="004335CC">
              <w:t>Investor</w:t>
            </w:r>
            <w:r w:rsidR="00A1760D" w:rsidRPr="004335CC">
              <w:t>:</w:t>
            </w:r>
            <w:r w:rsidR="00002A86" w:rsidRPr="004335CC">
              <w:rPr>
                <w:b/>
                <w:bCs/>
              </w:rPr>
              <w:t xml:space="preserve"> </w:t>
            </w:r>
            <w:r w:rsidR="00FD3359" w:rsidRPr="004335CC">
              <w:rPr>
                <w:b/>
              </w:rPr>
              <w:t xml:space="preserve"> </w:t>
            </w:r>
            <w:r w:rsidR="009D5F14">
              <w:t xml:space="preserve"> </w:t>
            </w:r>
            <w:r w:rsidR="00437740" w:rsidRPr="00F812A1">
              <w:rPr>
                <w:b/>
              </w:rPr>
              <w:t xml:space="preserve"> </w:t>
            </w:r>
          </w:p>
          <w:p w14:paraId="0E7B4B4D" w14:textId="77777777" w:rsidR="00437740" w:rsidRPr="00437740" w:rsidRDefault="00F5524C" w:rsidP="00437740">
            <w:pPr>
              <w:pStyle w:val="Zpat"/>
              <w:tabs>
                <w:tab w:val="left" w:pos="708"/>
              </w:tabs>
              <w:rPr>
                <w:b/>
                <w:sz w:val="22"/>
                <w:szCs w:val="22"/>
              </w:rPr>
            </w:pPr>
            <w:r>
              <w:rPr>
                <w:b/>
                <w:sz w:val="22"/>
                <w:szCs w:val="22"/>
              </w:rPr>
              <w:t xml:space="preserve">STARS Karviná, </w:t>
            </w:r>
            <w:r w:rsidR="00437740" w:rsidRPr="00437740">
              <w:rPr>
                <w:b/>
                <w:sz w:val="22"/>
                <w:szCs w:val="22"/>
              </w:rPr>
              <w:t>s.r.o.</w:t>
            </w:r>
          </w:p>
          <w:p w14:paraId="0E7B4B4E" w14:textId="77777777" w:rsidR="00437740" w:rsidRPr="00437740" w:rsidRDefault="00F5524C" w:rsidP="00437740">
            <w:pPr>
              <w:pStyle w:val="Zpat"/>
              <w:tabs>
                <w:tab w:val="left" w:pos="708"/>
              </w:tabs>
              <w:rPr>
                <w:sz w:val="22"/>
                <w:szCs w:val="22"/>
              </w:rPr>
            </w:pPr>
            <w:r>
              <w:rPr>
                <w:sz w:val="22"/>
                <w:szCs w:val="22"/>
              </w:rPr>
              <w:t>Karola Slivky 783/</w:t>
            </w:r>
            <w:proofErr w:type="gramStart"/>
            <w:r>
              <w:rPr>
                <w:sz w:val="22"/>
                <w:szCs w:val="22"/>
              </w:rPr>
              <w:t>2a</w:t>
            </w:r>
            <w:proofErr w:type="gramEnd"/>
          </w:p>
          <w:p w14:paraId="0E7B4B4F" w14:textId="77777777" w:rsidR="00A1760D" w:rsidRPr="004335CC" w:rsidRDefault="00F5524C" w:rsidP="00437740">
            <w:pPr>
              <w:pStyle w:val="NAWgegevensblok6"/>
              <w:tabs>
                <w:tab w:val="left" w:pos="907"/>
              </w:tabs>
            </w:pPr>
            <w:r>
              <w:rPr>
                <w:sz w:val="22"/>
                <w:szCs w:val="22"/>
              </w:rPr>
              <w:t xml:space="preserve">733 01 </w:t>
            </w:r>
            <w:proofErr w:type="gramStart"/>
            <w:r>
              <w:rPr>
                <w:sz w:val="22"/>
                <w:szCs w:val="22"/>
              </w:rPr>
              <w:t>Karviná - Fryštát</w:t>
            </w:r>
            <w:proofErr w:type="gramEnd"/>
            <w:r w:rsidR="00437740" w:rsidRPr="00437740">
              <w:rPr>
                <w:sz w:val="20"/>
              </w:rPr>
              <w:t xml:space="preserve"> </w:t>
            </w:r>
          </w:p>
        </w:tc>
        <w:tc>
          <w:tcPr>
            <w:tcW w:w="1422" w:type="dxa"/>
            <w:gridSpan w:val="2"/>
            <w:tcMar>
              <w:left w:w="0" w:type="dxa"/>
              <w:right w:w="0" w:type="dxa"/>
            </w:tcMar>
          </w:tcPr>
          <w:p w14:paraId="0E7B4B50" w14:textId="77777777" w:rsidR="00A1760D" w:rsidRPr="004335CC" w:rsidRDefault="00A1760D" w:rsidP="00D869B9">
            <w:pPr>
              <w:pStyle w:val="DocumentInfoblok5"/>
            </w:pPr>
            <w:r w:rsidRPr="004335CC">
              <w:t>Zakázkové číslo:</w:t>
            </w:r>
          </w:p>
        </w:tc>
        <w:tc>
          <w:tcPr>
            <w:tcW w:w="2022" w:type="dxa"/>
          </w:tcPr>
          <w:p w14:paraId="0E7B4B51" w14:textId="77777777" w:rsidR="00A1760D" w:rsidRPr="004335CC" w:rsidRDefault="00A1760D" w:rsidP="00F5524C">
            <w:pPr>
              <w:pStyle w:val="DocumentInfoblok5"/>
            </w:pPr>
          </w:p>
        </w:tc>
      </w:tr>
      <w:tr w:rsidR="00A1760D" w:rsidRPr="004335CC" w14:paraId="0E7B4B56" w14:textId="77777777" w:rsidTr="0052542F">
        <w:trPr>
          <w:trHeight w:hRule="exact" w:val="249"/>
        </w:trPr>
        <w:tc>
          <w:tcPr>
            <w:tcW w:w="6096" w:type="dxa"/>
            <w:vMerge/>
            <w:shd w:val="clear" w:color="auto" w:fill="auto"/>
            <w:tcMar>
              <w:left w:w="0" w:type="dxa"/>
              <w:right w:w="0" w:type="dxa"/>
            </w:tcMar>
          </w:tcPr>
          <w:p w14:paraId="0E7B4B53" w14:textId="77777777" w:rsidR="00A1760D" w:rsidRPr="004335CC" w:rsidRDefault="00A1760D" w:rsidP="00D869B9">
            <w:pPr>
              <w:jc w:val="left"/>
            </w:pPr>
          </w:p>
        </w:tc>
        <w:tc>
          <w:tcPr>
            <w:tcW w:w="1422" w:type="dxa"/>
            <w:gridSpan w:val="2"/>
            <w:tcMar>
              <w:left w:w="0" w:type="dxa"/>
              <w:right w:w="0" w:type="dxa"/>
            </w:tcMar>
          </w:tcPr>
          <w:p w14:paraId="0E7B4B54" w14:textId="77777777" w:rsidR="00A1760D" w:rsidRPr="004335CC" w:rsidRDefault="00A1760D" w:rsidP="00D869B9">
            <w:pPr>
              <w:pStyle w:val="DocumentInfoblok5"/>
            </w:pPr>
            <w:r w:rsidRPr="004335CC">
              <w:t xml:space="preserve">Číslo dokumentu: </w:t>
            </w:r>
          </w:p>
        </w:tc>
        <w:tc>
          <w:tcPr>
            <w:tcW w:w="2022" w:type="dxa"/>
          </w:tcPr>
          <w:p w14:paraId="0E7B4B55" w14:textId="77777777" w:rsidR="00A1760D" w:rsidRPr="004335CC" w:rsidRDefault="004C1453" w:rsidP="004744BF">
            <w:pPr>
              <w:pStyle w:val="DocumentInfoblok5"/>
            </w:pPr>
            <w:r>
              <w:t xml:space="preserve"> TZ</w:t>
            </w:r>
            <w:r w:rsidR="00F06EA2">
              <w:t>-</w:t>
            </w:r>
            <w:r w:rsidR="009D5F14">
              <w:t>01</w:t>
            </w:r>
          </w:p>
        </w:tc>
      </w:tr>
      <w:tr w:rsidR="00A1760D" w:rsidRPr="004335CC" w14:paraId="0E7B4B5F" w14:textId="77777777" w:rsidTr="0052542F">
        <w:trPr>
          <w:trHeight w:hRule="exact" w:val="938"/>
        </w:trPr>
        <w:tc>
          <w:tcPr>
            <w:tcW w:w="6096" w:type="dxa"/>
            <w:vMerge/>
            <w:shd w:val="clear" w:color="auto" w:fill="auto"/>
            <w:tcMar>
              <w:left w:w="0" w:type="dxa"/>
              <w:right w:w="0" w:type="dxa"/>
            </w:tcMar>
          </w:tcPr>
          <w:p w14:paraId="0E7B4B57" w14:textId="77777777" w:rsidR="00A1760D" w:rsidRPr="004335CC" w:rsidRDefault="00A1760D" w:rsidP="00D869B9">
            <w:pPr>
              <w:pStyle w:val="NAWgegevensblok6"/>
            </w:pPr>
          </w:p>
        </w:tc>
        <w:tc>
          <w:tcPr>
            <w:tcW w:w="1422" w:type="dxa"/>
            <w:gridSpan w:val="2"/>
            <w:tcMar>
              <w:left w:w="0" w:type="dxa"/>
              <w:right w:w="0" w:type="dxa"/>
            </w:tcMar>
          </w:tcPr>
          <w:p w14:paraId="0E7B4B58" w14:textId="77777777" w:rsidR="00A1760D" w:rsidRPr="004335CC" w:rsidRDefault="00A1760D" w:rsidP="00D869B9">
            <w:pPr>
              <w:pStyle w:val="DocumentInfoblok5"/>
            </w:pPr>
            <w:r w:rsidRPr="004335CC">
              <w:t xml:space="preserve">Revize: </w:t>
            </w:r>
            <w:r w:rsidR="00F471F3" w:rsidRPr="004335CC">
              <w:fldChar w:fldCharType="begin"/>
            </w:r>
            <w:r w:rsidRPr="004335CC">
              <w:instrText xml:space="preserve"> DOCVARIABLE  SE0652 /nounlink</w:instrText>
            </w:r>
            <w:r w:rsidR="00F471F3" w:rsidRPr="004335CC">
              <w:fldChar w:fldCharType="separate"/>
            </w:r>
            <w:r w:rsidR="00FB6BB0" w:rsidRPr="004335CC">
              <w:t xml:space="preserve"> </w:t>
            </w:r>
            <w:r w:rsidR="00F471F3" w:rsidRPr="004335CC">
              <w:fldChar w:fldCharType="end"/>
            </w:r>
          </w:p>
        </w:tc>
        <w:tc>
          <w:tcPr>
            <w:tcW w:w="2022" w:type="dxa"/>
          </w:tcPr>
          <w:p w14:paraId="0E7B4B59" w14:textId="77777777" w:rsidR="00A1760D" w:rsidRPr="004335CC" w:rsidRDefault="00A1760D" w:rsidP="00D869B9">
            <w:pPr>
              <w:pStyle w:val="DocumentInfoblok5"/>
            </w:pPr>
            <w:r w:rsidRPr="004335CC">
              <w:t>0</w:t>
            </w:r>
          </w:p>
          <w:p w14:paraId="0E7B4B5A" w14:textId="77777777" w:rsidR="00002A86" w:rsidRPr="004335CC" w:rsidRDefault="00002A86" w:rsidP="00D869B9">
            <w:pPr>
              <w:pStyle w:val="DocumentInfoblok5"/>
            </w:pPr>
          </w:p>
          <w:p w14:paraId="0E7B4B5B" w14:textId="77777777" w:rsidR="00002A86" w:rsidRPr="004335CC" w:rsidRDefault="00002A86" w:rsidP="00D869B9">
            <w:pPr>
              <w:pStyle w:val="DocumentInfoblok5"/>
            </w:pPr>
          </w:p>
          <w:p w14:paraId="0E7B4B5C" w14:textId="77777777" w:rsidR="00002A86" w:rsidRPr="004335CC" w:rsidRDefault="00002A86" w:rsidP="00D869B9">
            <w:pPr>
              <w:pStyle w:val="DocumentInfoblok5"/>
            </w:pPr>
          </w:p>
          <w:p w14:paraId="0E7B4B5D" w14:textId="77777777" w:rsidR="00002A86" w:rsidRPr="004335CC" w:rsidRDefault="00002A86" w:rsidP="00D869B9">
            <w:pPr>
              <w:pStyle w:val="DocumentInfoblok5"/>
            </w:pPr>
          </w:p>
          <w:p w14:paraId="0E7B4B5E" w14:textId="77777777" w:rsidR="00002A86" w:rsidRPr="004335CC" w:rsidRDefault="00002A86" w:rsidP="00D869B9">
            <w:pPr>
              <w:pStyle w:val="DocumentInfoblok5"/>
            </w:pPr>
          </w:p>
        </w:tc>
      </w:tr>
      <w:tr w:rsidR="00A1760D" w:rsidRPr="004335CC" w14:paraId="0E7B4B67" w14:textId="77777777" w:rsidTr="0052542F">
        <w:trPr>
          <w:trHeight w:hRule="exact" w:val="249"/>
        </w:trPr>
        <w:tc>
          <w:tcPr>
            <w:tcW w:w="6096" w:type="dxa"/>
            <w:vMerge w:val="restart"/>
            <w:shd w:val="clear" w:color="auto" w:fill="auto"/>
            <w:tcMar>
              <w:left w:w="0" w:type="dxa"/>
              <w:right w:w="0" w:type="dxa"/>
            </w:tcMar>
          </w:tcPr>
          <w:p w14:paraId="0E7B4B60" w14:textId="77777777" w:rsidR="00437740" w:rsidRDefault="00A1760D" w:rsidP="009D5F14">
            <w:pPr>
              <w:pStyle w:val="NAWgegevensblok6"/>
              <w:tabs>
                <w:tab w:val="left" w:pos="907"/>
              </w:tabs>
              <w:rPr>
                <w:rFonts w:cs="Arial"/>
                <w:sz w:val="28"/>
                <w:szCs w:val="28"/>
              </w:rPr>
            </w:pPr>
            <w:r w:rsidRPr="004335CC">
              <w:t>Projekt:</w:t>
            </w:r>
            <w:r w:rsidRPr="004335CC">
              <w:tab/>
            </w:r>
            <w:r w:rsidR="00FD3359" w:rsidRPr="004335CC">
              <w:rPr>
                <w:b/>
                <w:sz w:val="26"/>
                <w:szCs w:val="26"/>
              </w:rPr>
              <w:t xml:space="preserve"> </w:t>
            </w:r>
            <w:r w:rsidR="00437740" w:rsidRPr="00F812A1">
              <w:rPr>
                <w:rFonts w:cs="Arial"/>
                <w:sz w:val="28"/>
                <w:szCs w:val="28"/>
              </w:rPr>
              <w:t xml:space="preserve"> </w:t>
            </w:r>
          </w:p>
          <w:p w14:paraId="0E7B4B61" w14:textId="77777777" w:rsidR="00437740" w:rsidRDefault="00437740" w:rsidP="009D5F14">
            <w:pPr>
              <w:pStyle w:val="NAWgegevensblok6"/>
              <w:tabs>
                <w:tab w:val="left" w:pos="907"/>
              </w:tabs>
              <w:rPr>
                <w:rFonts w:cs="Arial"/>
                <w:sz w:val="28"/>
                <w:szCs w:val="28"/>
              </w:rPr>
            </w:pPr>
          </w:p>
          <w:p w14:paraId="0E7B4B62" w14:textId="0F591A11" w:rsidR="005B6C0C" w:rsidRPr="00437740" w:rsidRDefault="00F5524C" w:rsidP="009D5F14">
            <w:pPr>
              <w:pStyle w:val="NAWgegevensblok6"/>
              <w:tabs>
                <w:tab w:val="left" w:pos="907"/>
              </w:tabs>
              <w:rPr>
                <w:b/>
                <w:sz w:val="22"/>
                <w:szCs w:val="22"/>
              </w:rPr>
            </w:pPr>
            <w:r>
              <w:rPr>
                <w:rFonts w:cs="Arial"/>
                <w:b/>
                <w:sz w:val="22"/>
                <w:szCs w:val="22"/>
              </w:rPr>
              <w:t xml:space="preserve">Rekonstrukce umělého osvětlení </w:t>
            </w:r>
            <w:r w:rsidR="007D1F05">
              <w:rPr>
                <w:rFonts w:cs="Arial"/>
                <w:b/>
                <w:sz w:val="22"/>
                <w:szCs w:val="22"/>
              </w:rPr>
              <w:t xml:space="preserve">a oprava nouzového osvětlení </w:t>
            </w:r>
            <w:r w:rsidR="000072F9">
              <w:rPr>
                <w:rFonts w:cs="Arial"/>
                <w:b/>
                <w:sz w:val="22"/>
                <w:szCs w:val="22"/>
              </w:rPr>
              <w:t xml:space="preserve">házenkářské </w:t>
            </w:r>
            <w:r>
              <w:rPr>
                <w:rFonts w:cs="Arial"/>
                <w:b/>
                <w:sz w:val="22"/>
                <w:szCs w:val="22"/>
              </w:rPr>
              <w:t>hal</w:t>
            </w:r>
            <w:r w:rsidR="00D51BB3">
              <w:rPr>
                <w:rFonts w:cs="Arial"/>
                <w:b/>
                <w:sz w:val="22"/>
                <w:szCs w:val="22"/>
              </w:rPr>
              <w:t>y</w:t>
            </w:r>
          </w:p>
          <w:p w14:paraId="0E7B4B63" w14:textId="77777777" w:rsidR="00A1760D" w:rsidRPr="00437740" w:rsidRDefault="00A1760D" w:rsidP="00D869B9">
            <w:pPr>
              <w:pStyle w:val="NAWgegevensblok6"/>
              <w:tabs>
                <w:tab w:val="left" w:pos="907"/>
              </w:tabs>
              <w:ind w:left="907" w:hanging="907"/>
              <w:rPr>
                <w:b/>
                <w:sz w:val="22"/>
                <w:szCs w:val="22"/>
              </w:rPr>
            </w:pPr>
          </w:p>
          <w:p w14:paraId="0E7B4B64" w14:textId="77777777" w:rsidR="00A1760D" w:rsidRPr="004335CC" w:rsidRDefault="00A1760D" w:rsidP="00F5524C">
            <w:pPr>
              <w:pStyle w:val="NAWgegevensblok6"/>
              <w:tabs>
                <w:tab w:val="left" w:pos="907"/>
              </w:tabs>
              <w:ind w:left="907" w:hanging="907"/>
              <w:rPr>
                <w:b/>
                <w:sz w:val="26"/>
                <w:szCs w:val="26"/>
              </w:rPr>
            </w:pPr>
            <w:proofErr w:type="gramStart"/>
            <w:r w:rsidRPr="004335CC">
              <w:t xml:space="preserve">Stupeň: </w:t>
            </w:r>
            <w:r w:rsidRPr="004335CC">
              <w:rPr>
                <w:rStyle w:val="ReportboldChar"/>
                <w:lang w:val="cs-CZ"/>
              </w:rPr>
              <w:t xml:space="preserve">  </w:t>
            </w:r>
            <w:proofErr w:type="gramEnd"/>
            <w:r w:rsidRPr="004335CC">
              <w:rPr>
                <w:rStyle w:val="ReportboldChar"/>
                <w:lang w:val="cs-CZ"/>
              </w:rPr>
              <w:t xml:space="preserve">  </w:t>
            </w:r>
            <w:r w:rsidR="00F5524C">
              <w:rPr>
                <w:rStyle w:val="ReportboldChar"/>
                <w:lang w:val="cs-CZ"/>
              </w:rPr>
              <w:t>DPS - d</w:t>
            </w:r>
            <w:r w:rsidR="00916EE8" w:rsidRPr="00437740">
              <w:rPr>
                <w:rStyle w:val="ReportboldChar"/>
                <w:sz w:val="22"/>
                <w:szCs w:val="22"/>
                <w:lang w:val="cs-CZ"/>
              </w:rPr>
              <w:t xml:space="preserve">okumentace pro </w:t>
            </w:r>
            <w:r w:rsidR="00F5524C">
              <w:rPr>
                <w:rStyle w:val="ReportboldChar"/>
                <w:sz w:val="22"/>
                <w:szCs w:val="22"/>
                <w:lang w:val="cs-CZ"/>
              </w:rPr>
              <w:t>provedení stavby</w:t>
            </w:r>
          </w:p>
        </w:tc>
        <w:tc>
          <w:tcPr>
            <w:tcW w:w="855" w:type="dxa"/>
            <w:tcMar>
              <w:left w:w="0" w:type="dxa"/>
              <w:right w:w="0" w:type="dxa"/>
            </w:tcMar>
          </w:tcPr>
          <w:p w14:paraId="0E7B4B65" w14:textId="77777777" w:rsidR="00A1760D" w:rsidRPr="004335CC" w:rsidRDefault="00A1760D" w:rsidP="00D869B9">
            <w:pPr>
              <w:pStyle w:val="DocumentInfoblok5"/>
            </w:pPr>
          </w:p>
        </w:tc>
        <w:tc>
          <w:tcPr>
            <w:tcW w:w="2589" w:type="dxa"/>
            <w:gridSpan w:val="2"/>
          </w:tcPr>
          <w:p w14:paraId="0E7B4B66" w14:textId="77777777" w:rsidR="00A1760D" w:rsidRPr="004335CC" w:rsidRDefault="00A1760D" w:rsidP="00D869B9">
            <w:pPr>
              <w:pStyle w:val="DocumentInfoblok5"/>
            </w:pPr>
          </w:p>
        </w:tc>
      </w:tr>
      <w:tr w:rsidR="00A1760D" w:rsidRPr="004335CC" w14:paraId="0E7B4B6B" w14:textId="77777777" w:rsidTr="0052542F">
        <w:trPr>
          <w:trHeight w:hRule="exact" w:val="249"/>
        </w:trPr>
        <w:tc>
          <w:tcPr>
            <w:tcW w:w="6096" w:type="dxa"/>
            <w:vMerge/>
            <w:shd w:val="clear" w:color="auto" w:fill="auto"/>
            <w:tcMar>
              <w:left w:w="0" w:type="dxa"/>
              <w:right w:w="0" w:type="dxa"/>
            </w:tcMar>
          </w:tcPr>
          <w:p w14:paraId="0E7B4B68" w14:textId="77777777" w:rsidR="00A1760D" w:rsidRPr="004335CC" w:rsidRDefault="00A1760D" w:rsidP="00D869B9">
            <w:pPr>
              <w:pStyle w:val="NAWgegevensblok6"/>
            </w:pPr>
          </w:p>
        </w:tc>
        <w:tc>
          <w:tcPr>
            <w:tcW w:w="855" w:type="dxa"/>
            <w:tcMar>
              <w:left w:w="0" w:type="dxa"/>
              <w:right w:w="0" w:type="dxa"/>
            </w:tcMar>
          </w:tcPr>
          <w:p w14:paraId="0E7B4B69" w14:textId="77777777" w:rsidR="00A1760D" w:rsidRPr="007D7EC4" w:rsidRDefault="00A1760D" w:rsidP="00D869B9">
            <w:pPr>
              <w:pStyle w:val="DocumentInfoblok5"/>
            </w:pPr>
            <w:r w:rsidRPr="007D7EC4">
              <w:t xml:space="preserve">Autor: </w:t>
            </w:r>
          </w:p>
        </w:tc>
        <w:tc>
          <w:tcPr>
            <w:tcW w:w="2589" w:type="dxa"/>
            <w:gridSpan w:val="2"/>
          </w:tcPr>
          <w:p w14:paraId="0E7B4B6A" w14:textId="77777777" w:rsidR="00A1760D" w:rsidRPr="007D7EC4" w:rsidRDefault="007D7EC4" w:rsidP="009D5F14">
            <w:pPr>
              <w:pStyle w:val="DocumentInfoblok5"/>
            </w:pPr>
            <w:r w:rsidRPr="007D7EC4">
              <w:t xml:space="preserve">Ing. </w:t>
            </w:r>
            <w:r w:rsidR="009D5F14">
              <w:t>Jaroslav Holáň</w:t>
            </w:r>
          </w:p>
        </w:tc>
      </w:tr>
      <w:tr w:rsidR="00A1760D" w:rsidRPr="004335CC" w14:paraId="0E7B4B6F" w14:textId="77777777" w:rsidTr="0052542F">
        <w:trPr>
          <w:trHeight w:hRule="exact" w:val="249"/>
        </w:trPr>
        <w:tc>
          <w:tcPr>
            <w:tcW w:w="6096" w:type="dxa"/>
            <w:vMerge/>
            <w:tcMar>
              <w:left w:w="0" w:type="dxa"/>
              <w:right w:w="0" w:type="dxa"/>
            </w:tcMar>
          </w:tcPr>
          <w:p w14:paraId="0E7B4B6C" w14:textId="77777777" w:rsidR="00A1760D" w:rsidRPr="004335CC" w:rsidRDefault="00A1760D" w:rsidP="00D869B9">
            <w:pPr>
              <w:pStyle w:val="NAWgegevensblok6"/>
            </w:pPr>
          </w:p>
        </w:tc>
        <w:tc>
          <w:tcPr>
            <w:tcW w:w="855" w:type="dxa"/>
            <w:tcMar>
              <w:left w:w="0" w:type="dxa"/>
              <w:right w:w="0" w:type="dxa"/>
            </w:tcMar>
          </w:tcPr>
          <w:p w14:paraId="0E7B4B6D" w14:textId="77777777" w:rsidR="00A1760D" w:rsidRPr="007D7EC4" w:rsidRDefault="00A1760D" w:rsidP="00D869B9">
            <w:pPr>
              <w:pStyle w:val="DocumentInfoblok5"/>
            </w:pPr>
            <w:r w:rsidRPr="007D7EC4">
              <w:t xml:space="preserve">Telefon: </w:t>
            </w:r>
          </w:p>
        </w:tc>
        <w:tc>
          <w:tcPr>
            <w:tcW w:w="2589" w:type="dxa"/>
            <w:gridSpan w:val="2"/>
          </w:tcPr>
          <w:p w14:paraId="0E7B4B6E" w14:textId="77777777" w:rsidR="00A1760D" w:rsidRPr="007D7EC4" w:rsidRDefault="007D7EC4" w:rsidP="009D5F14">
            <w:pPr>
              <w:pStyle w:val="DocumentInfoblok5"/>
            </w:pPr>
            <w:r w:rsidRPr="007D7EC4">
              <w:t>+420</w:t>
            </w:r>
            <w:r w:rsidR="009D5F14">
              <w:t> 608 123 456</w:t>
            </w:r>
          </w:p>
        </w:tc>
      </w:tr>
      <w:tr w:rsidR="00A1760D" w:rsidRPr="004335CC" w14:paraId="0E7B4B73" w14:textId="77777777" w:rsidTr="0052542F">
        <w:trPr>
          <w:trHeight w:hRule="exact" w:val="249"/>
        </w:trPr>
        <w:tc>
          <w:tcPr>
            <w:tcW w:w="6096" w:type="dxa"/>
            <w:vMerge/>
            <w:tcMar>
              <w:left w:w="0" w:type="dxa"/>
              <w:right w:w="0" w:type="dxa"/>
            </w:tcMar>
          </w:tcPr>
          <w:p w14:paraId="0E7B4B70" w14:textId="77777777" w:rsidR="00A1760D" w:rsidRPr="004335CC" w:rsidRDefault="00A1760D" w:rsidP="00D869B9">
            <w:pPr>
              <w:pStyle w:val="NAWgegevensblok6"/>
            </w:pPr>
          </w:p>
        </w:tc>
        <w:tc>
          <w:tcPr>
            <w:tcW w:w="855" w:type="dxa"/>
            <w:tcMar>
              <w:left w:w="0" w:type="dxa"/>
              <w:right w:w="0" w:type="dxa"/>
            </w:tcMar>
          </w:tcPr>
          <w:p w14:paraId="0E7B4B71" w14:textId="77777777" w:rsidR="00A1760D" w:rsidRPr="007D7EC4" w:rsidRDefault="00A1760D" w:rsidP="00D869B9">
            <w:pPr>
              <w:pStyle w:val="DocumentInfoblok5"/>
            </w:pPr>
            <w:r w:rsidRPr="007D7EC4">
              <w:t xml:space="preserve">E-mail: </w:t>
            </w:r>
          </w:p>
        </w:tc>
        <w:tc>
          <w:tcPr>
            <w:tcW w:w="2589" w:type="dxa"/>
            <w:gridSpan w:val="2"/>
          </w:tcPr>
          <w:p w14:paraId="0E7B4B72" w14:textId="77777777" w:rsidR="00A1760D" w:rsidRPr="007D7EC4" w:rsidRDefault="009D5F14" w:rsidP="00916EE8">
            <w:pPr>
              <w:pStyle w:val="DocumentInfoblok5"/>
            </w:pPr>
            <w:r>
              <w:t>jholan</w:t>
            </w:r>
            <w:r w:rsidR="00A1760D" w:rsidRPr="007D7EC4">
              <w:t>@</w:t>
            </w:r>
            <w:r w:rsidR="00916EE8">
              <w:t>amperdesign</w:t>
            </w:r>
            <w:r w:rsidR="00A1760D" w:rsidRPr="007D7EC4">
              <w:t>.cz</w:t>
            </w:r>
          </w:p>
        </w:tc>
      </w:tr>
      <w:tr w:rsidR="00A1760D" w:rsidRPr="004335CC" w14:paraId="0E7B4B77" w14:textId="77777777" w:rsidTr="0052542F">
        <w:trPr>
          <w:trHeight w:hRule="exact" w:val="249"/>
        </w:trPr>
        <w:tc>
          <w:tcPr>
            <w:tcW w:w="6096" w:type="dxa"/>
            <w:vMerge/>
            <w:shd w:val="clear" w:color="auto" w:fill="auto"/>
            <w:tcMar>
              <w:left w:w="0" w:type="dxa"/>
              <w:right w:w="0" w:type="dxa"/>
            </w:tcMar>
          </w:tcPr>
          <w:p w14:paraId="0E7B4B74" w14:textId="77777777" w:rsidR="00A1760D" w:rsidRPr="004335CC" w:rsidRDefault="00A1760D" w:rsidP="00D869B9">
            <w:pPr>
              <w:pStyle w:val="NAWgegevensblok6"/>
            </w:pPr>
          </w:p>
        </w:tc>
        <w:tc>
          <w:tcPr>
            <w:tcW w:w="855" w:type="dxa"/>
            <w:tcMar>
              <w:left w:w="0" w:type="dxa"/>
              <w:right w:w="0" w:type="dxa"/>
            </w:tcMar>
          </w:tcPr>
          <w:p w14:paraId="0E7B4B75" w14:textId="77777777" w:rsidR="00A1760D" w:rsidRPr="004335CC" w:rsidRDefault="00A1760D" w:rsidP="00D869B9">
            <w:pPr>
              <w:pStyle w:val="DocumentInfoblok5"/>
            </w:pPr>
          </w:p>
        </w:tc>
        <w:tc>
          <w:tcPr>
            <w:tcW w:w="2589" w:type="dxa"/>
            <w:gridSpan w:val="2"/>
          </w:tcPr>
          <w:p w14:paraId="0E7B4B76" w14:textId="77777777" w:rsidR="00A1760D" w:rsidRPr="004335CC" w:rsidRDefault="00A1760D" w:rsidP="00D869B9">
            <w:pPr>
              <w:pStyle w:val="DocumentInfoblok5"/>
            </w:pPr>
          </w:p>
        </w:tc>
      </w:tr>
      <w:tr w:rsidR="00A1760D" w:rsidRPr="004335CC" w14:paraId="0E7B4B7B" w14:textId="77777777" w:rsidTr="0052542F">
        <w:trPr>
          <w:trHeight w:hRule="exact" w:val="249"/>
        </w:trPr>
        <w:tc>
          <w:tcPr>
            <w:tcW w:w="6096" w:type="dxa"/>
            <w:vMerge/>
            <w:shd w:val="clear" w:color="auto" w:fill="auto"/>
            <w:tcMar>
              <w:left w:w="0" w:type="dxa"/>
              <w:right w:w="0" w:type="dxa"/>
            </w:tcMar>
          </w:tcPr>
          <w:p w14:paraId="0E7B4B78" w14:textId="77777777" w:rsidR="00A1760D" w:rsidRPr="004335CC" w:rsidRDefault="00A1760D" w:rsidP="00D869B9">
            <w:pPr>
              <w:pStyle w:val="NAWgegevensblok6"/>
            </w:pPr>
          </w:p>
        </w:tc>
        <w:tc>
          <w:tcPr>
            <w:tcW w:w="855" w:type="dxa"/>
            <w:tcMar>
              <w:left w:w="0" w:type="dxa"/>
              <w:right w:w="0" w:type="dxa"/>
            </w:tcMar>
          </w:tcPr>
          <w:p w14:paraId="0E7B4B79" w14:textId="77777777" w:rsidR="00A1760D" w:rsidRPr="004335CC" w:rsidRDefault="00A1760D" w:rsidP="00D869B9">
            <w:pPr>
              <w:pStyle w:val="DocumentInfoblok5"/>
            </w:pPr>
            <w:r w:rsidRPr="004335CC">
              <w:t xml:space="preserve">Datum: </w:t>
            </w:r>
          </w:p>
        </w:tc>
        <w:tc>
          <w:tcPr>
            <w:tcW w:w="2589" w:type="dxa"/>
            <w:gridSpan w:val="2"/>
          </w:tcPr>
          <w:p w14:paraId="0E7B4B7A" w14:textId="77777777" w:rsidR="00A1760D" w:rsidRPr="004335CC" w:rsidRDefault="000072F9" w:rsidP="00490F17">
            <w:pPr>
              <w:pStyle w:val="DocumentInfoblok5"/>
            </w:pPr>
            <w:r>
              <w:t>11</w:t>
            </w:r>
            <w:r w:rsidR="00D13538" w:rsidRPr="004335CC">
              <w:t>/20</w:t>
            </w:r>
            <w:r w:rsidR="00002A86" w:rsidRPr="004335CC">
              <w:t>1</w:t>
            </w:r>
            <w:r>
              <w:t>9</w:t>
            </w:r>
          </w:p>
        </w:tc>
      </w:tr>
      <w:tr w:rsidR="00A1760D" w:rsidRPr="004335CC" w14:paraId="0E7B4B7F" w14:textId="77777777" w:rsidTr="0052542F">
        <w:trPr>
          <w:trHeight w:hRule="exact" w:val="249"/>
        </w:trPr>
        <w:tc>
          <w:tcPr>
            <w:tcW w:w="6096" w:type="dxa"/>
            <w:vMerge/>
            <w:shd w:val="clear" w:color="auto" w:fill="auto"/>
            <w:tcMar>
              <w:left w:w="0" w:type="dxa"/>
              <w:right w:w="0" w:type="dxa"/>
            </w:tcMar>
          </w:tcPr>
          <w:p w14:paraId="0E7B4B7C" w14:textId="77777777" w:rsidR="00A1760D" w:rsidRPr="004335CC" w:rsidRDefault="00A1760D" w:rsidP="00D869B9">
            <w:pPr>
              <w:pStyle w:val="NAWgegevensblok6"/>
            </w:pPr>
          </w:p>
        </w:tc>
        <w:tc>
          <w:tcPr>
            <w:tcW w:w="855" w:type="dxa"/>
            <w:tcMar>
              <w:left w:w="0" w:type="dxa"/>
              <w:right w:w="0" w:type="dxa"/>
            </w:tcMar>
          </w:tcPr>
          <w:p w14:paraId="0E7B4B7D" w14:textId="77777777" w:rsidR="00A1760D" w:rsidRPr="004335CC" w:rsidRDefault="00A1760D" w:rsidP="00D869B9">
            <w:pPr>
              <w:pStyle w:val="DocumentInfoblok5"/>
            </w:pPr>
          </w:p>
        </w:tc>
        <w:tc>
          <w:tcPr>
            <w:tcW w:w="2589" w:type="dxa"/>
            <w:gridSpan w:val="2"/>
          </w:tcPr>
          <w:p w14:paraId="0E7B4B7E" w14:textId="77777777" w:rsidR="00A1760D" w:rsidRPr="004335CC" w:rsidRDefault="00A1760D" w:rsidP="00D869B9">
            <w:pPr>
              <w:pStyle w:val="DocumentInfoblok5"/>
            </w:pPr>
          </w:p>
        </w:tc>
      </w:tr>
      <w:tr w:rsidR="00A1760D" w:rsidRPr="004335CC" w14:paraId="0E7B4B86" w14:textId="77777777" w:rsidTr="0052542F">
        <w:trPr>
          <w:trHeight w:hRule="exact" w:val="258"/>
        </w:trPr>
        <w:tc>
          <w:tcPr>
            <w:tcW w:w="6096" w:type="dxa"/>
            <w:vMerge w:val="restart"/>
            <w:shd w:val="clear" w:color="auto" w:fill="auto"/>
            <w:tcMar>
              <w:left w:w="0" w:type="dxa"/>
              <w:right w:w="0" w:type="dxa"/>
            </w:tcMar>
          </w:tcPr>
          <w:p w14:paraId="0E7B4B80" w14:textId="77777777" w:rsidR="00A1760D" w:rsidRDefault="00A1760D" w:rsidP="005B6C0C">
            <w:pPr>
              <w:pStyle w:val="NAWgegevensblok6"/>
              <w:tabs>
                <w:tab w:val="left" w:pos="907"/>
              </w:tabs>
              <w:ind w:left="907" w:hanging="907"/>
            </w:pPr>
          </w:p>
          <w:p w14:paraId="0E7B4B81" w14:textId="77777777" w:rsidR="005B6C0C" w:rsidRDefault="00437740" w:rsidP="005B6C0C">
            <w:pPr>
              <w:pStyle w:val="NAWgegevensblok6"/>
              <w:tabs>
                <w:tab w:val="left" w:pos="907"/>
              </w:tabs>
              <w:ind w:left="907" w:hanging="907"/>
            </w:pPr>
            <w:r w:rsidRPr="005B6C0C">
              <w:t>Část</w:t>
            </w:r>
            <w:r w:rsidR="00EA5038" w:rsidRPr="005B6C0C">
              <w:t>:</w:t>
            </w:r>
            <w:r w:rsidR="005B6C0C" w:rsidRPr="005B6C0C">
              <w:t xml:space="preserve"> </w:t>
            </w:r>
            <w:r w:rsidR="005B6C0C">
              <w:tab/>
            </w:r>
            <w:r w:rsidR="00FA0C4F">
              <w:rPr>
                <w:rStyle w:val="ReportboldChar"/>
                <w:sz w:val="22"/>
                <w:szCs w:val="22"/>
                <w:lang w:val="cs-CZ"/>
              </w:rPr>
              <w:t>Silnoproudá elektrotechnika</w:t>
            </w:r>
          </w:p>
          <w:p w14:paraId="0E7B4B82" w14:textId="77777777" w:rsidR="00437740" w:rsidRDefault="00437740" w:rsidP="005B6C0C">
            <w:pPr>
              <w:pStyle w:val="NAWgegevensblok6"/>
              <w:tabs>
                <w:tab w:val="left" w:pos="907"/>
              </w:tabs>
              <w:ind w:left="907" w:hanging="907"/>
            </w:pPr>
          </w:p>
          <w:p w14:paraId="0E7B4B83" w14:textId="77777777" w:rsidR="00437740" w:rsidRPr="004335CC" w:rsidRDefault="00437740" w:rsidP="005B6C0C">
            <w:pPr>
              <w:pStyle w:val="NAWgegevensblok6"/>
              <w:tabs>
                <w:tab w:val="left" w:pos="907"/>
              </w:tabs>
              <w:ind w:left="907" w:hanging="907"/>
            </w:pPr>
          </w:p>
        </w:tc>
        <w:tc>
          <w:tcPr>
            <w:tcW w:w="855" w:type="dxa"/>
            <w:tcMar>
              <w:left w:w="0" w:type="dxa"/>
              <w:right w:w="0" w:type="dxa"/>
            </w:tcMar>
          </w:tcPr>
          <w:p w14:paraId="0E7B4B84" w14:textId="77777777" w:rsidR="00A1760D" w:rsidRPr="004335CC" w:rsidRDefault="00A1760D" w:rsidP="00D869B9">
            <w:pPr>
              <w:pStyle w:val="DocumentInfoblok5"/>
            </w:pPr>
          </w:p>
        </w:tc>
        <w:tc>
          <w:tcPr>
            <w:tcW w:w="2589" w:type="dxa"/>
            <w:gridSpan w:val="2"/>
          </w:tcPr>
          <w:p w14:paraId="0E7B4B85" w14:textId="77777777" w:rsidR="00A1760D" w:rsidRPr="004335CC" w:rsidRDefault="00A1760D" w:rsidP="00D869B9">
            <w:pPr>
              <w:pStyle w:val="DocumentInfoblok5"/>
            </w:pPr>
          </w:p>
        </w:tc>
      </w:tr>
      <w:tr w:rsidR="00A1760D" w:rsidRPr="004335CC" w14:paraId="0E7B4B8A" w14:textId="77777777" w:rsidTr="0052542F">
        <w:trPr>
          <w:trHeight w:hRule="exact" w:val="249"/>
        </w:trPr>
        <w:tc>
          <w:tcPr>
            <w:tcW w:w="6096" w:type="dxa"/>
            <w:vMerge/>
            <w:tcMar>
              <w:left w:w="0" w:type="dxa"/>
              <w:right w:w="0" w:type="dxa"/>
            </w:tcMar>
          </w:tcPr>
          <w:p w14:paraId="0E7B4B87" w14:textId="77777777" w:rsidR="00A1760D" w:rsidRPr="004335CC" w:rsidRDefault="00A1760D" w:rsidP="00D869B9">
            <w:pPr>
              <w:pStyle w:val="NAWgegevensblok6"/>
            </w:pPr>
          </w:p>
        </w:tc>
        <w:tc>
          <w:tcPr>
            <w:tcW w:w="855" w:type="dxa"/>
            <w:tcMar>
              <w:left w:w="0" w:type="dxa"/>
              <w:right w:w="0" w:type="dxa"/>
            </w:tcMar>
          </w:tcPr>
          <w:p w14:paraId="0E7B4B88" w14:textId="77777777" w:rsidR="00A1760D" w:rsidRPr="004335CC" w:rsidRDefault="00A1760D" w:rsidP="00D869B9">
            <w:pPr>
              <w:pStyle w:val="DocumentInfoblok5"/>
            </w:pPr>
          </w:p>
        </w:tc>
        <w:tc>
          <w:tcPr>
            <w:tcW w:w="2589" w:type="dxa"/>
            <w:gridSpan w:val="2"/>
          </w:tcPr>
          <w:p w14:paraId="0E7B4B89" w14:textId="77777777" w:rsidR="00A1760D" w:rsidRPr="004335CC" w:rsidRDefault="00A1760D" w:rsidP="00D869B9">
            <w:pPr>
              <w:pStyle w:val="DocumentInfoblok5"/>
            </w:pPr>
          </w:p>
        </w:tc>
      </w:tr>
      <w:tr w:rsidR="00A1760D" w:rsidRPr="004335CC" w14:paraId="0E7B4B8E" w14:textId="77777777" w:rsidTr="0052542F">
        <w:trPr>
          <w:trHeight w:hRule="exact" w:val="249"/>
        </w:trPr>
        <w:tc>
          <w:tcPr>
            <w:tcW w:w="6096" w:type="dxa"/>
            <w:vMerge/>
            <w:tcMar>
              <w:left w:w="0" w:type="dxa"/>
              <w:right w:w="0" w:type="dxa"/>
            </w:tcMar>
          </w:tcPr>
          <w:p w14:paraId="0E7B4B8B" w14:textId="77777777" w:rsidR="00A1760D" w:rsidRPr="004335CC" w:rsidRDefault="00A1760D" w:rsidP="00D869B9">
            <w:pPr>
              <w:pStyle w:val="NAWgegevensblok6"/>
            </w:pPr>
          </w:p>
        </w:tc>
        <w:tc>
          <w:tcPr>
            <w:tcW w:w="855" w:type="dxa"/>
            <w:tcMar>
              <w:left w:w="0" w:type="dxa"/>
              <w:right w:w="0" w:type="dxa"/>
            </w:tcMar>
          </w:tcPr>
          <w:p w14:paraId="0E7B4B8C" w14:textId="77777777" w:rsidR="00A1760D" w:rsidRPr="004335CC" w:rsidRDefault="00A1760D" w:rsidP="00D869B9">
            <w:pPr>
              <w:pStyle w:val="DocumentInfoblok5"/>
            </w:pPr>
          </w:p>
        </w:tc>
        <w:tc>
          <w:tcPr>
            <w:tcW w:w="2589" w:type="dxa"/>
            <w:gridSpan w:val="2"/>
          </w:tcPr>
          <w:p w14:paraId="0E7B4B8D" w14:textId="77777777" w:rsidR="00A1760D" w:rsidRPr="004335CC" w:rsidRDefault="00A1760D" w:rsidP="00D869B9">
            <w:pPr>
              <w:pStyle w:val="DocumentInfoblok5"/>
            </w:pPr>
          </w:p>
        </w:tc>
      </w:tr>
      <w:tr w:rsidR="00A1760D" w:rsidRPr="004335CC" w14:paraId="0E7B4B92" w14:textId="77777777" w:rsidTr="0052542F">
        <w:trPr>
          <w:trHeight w:hRule="exact" w:val="249"/>
        </w:trPr>
        <w:tc>
          <w:tcPr>
            <w:tcW w:w="6096" w:type="dxa"/>
            <w:vMerge/>
            <w:tcMar>
              <w:left w:w="0" w:type="dxa"/>
              <w:right w:w="0" w:type="dxa"/>
            </w:tcMar>
          </w:tcPr>
          <w:p w14:paraId="0E7B4B8F" w14:textId="77777777" w:rsidR="00A1760D" w:rsidRPr="004335CC" w:rsidRDefault="00A1760D" w:rsidP="00D869B9">
            <w:pPr>
              <w:pStyle w:val="NAWgegevensblok6"/>
            </w:pPr>
          </w:p>
        </w:tc>
        <w:tc>
          <w:tcPr>
            <w:tcW w:w="855" w:type="dxa"/>
            <w:tcMar>
              <w:left w:w="0" w:type="dxa"/>
              <w:right w:w="0" w:type="dxa"/>
            </w:tcMar>
          </w:tcPr>
          <w:p w14:paraId="0E7B4B90" w14:textId="77777777" w:rsidR="00A1760D" w:rsidRPr="004335CC" w:rsidRDefault="00A1760D" w:rsidP="00D869B9">
            <w:pPr>
              <w:pStyle w:val="DocumentInfoblok5"/>
            </w:pPr>
          </w:p>
        </w:tc>
        <w:tc>
          <w:tcPr>
            <w:tcW w:w="2589" w:type="dxa"/>
            <w:gridSpan w:val="2"/>
          </w:tcPr>
          <w:p w14:paraId="0E7B4B91" w14:textId="77777777" w:rsidR="00A1760D" w:rsidRPr="004335CC" w:rsidRDefault="00A1760D" w:rsidP="00D869B9">
            <w:pPr>
              <w:pStyle w:val="DocumentInfoblok5"/>
            </w:pPr>
          </w:p>
        </w:tc>
      </w:tr>
      <w:tr w:rsidR="00A1760D" w:rsidRPr="004335CC" w14:paraId="0E7B4B96" w14:textId="77777777" w:rsidTr="0052542F">
        <w:trPr>
          <w:trHeight w:hRule="exact" w:val="142"/>
        </w:trPr>
        <w:tc>
          <w:tcPr>
            <w:tcW w:w="6096" w:type="dxa"/>
            <w:vMerge/>
            <w:tcMar>
              <w:left w:w="0" w:type="dxa"/>
              <w:right w:w="0" w:type="dxa"/>
            </w:tcMar>
          </w:tcPr>
          <w:p w14:paraId="0E7B4B93" w14:textId="77777777" w:rsidR="00A1760D" w:rsidRPr="004335CC" w:rsidRDefault="00A1760D" w:rsidP="00D869B9">
            <w:pPr>
              <w:pStyle w:val="NAWgegevensblok6"/>
            </w:pPr>
          </w:p>
        </w:tc>
        <w:tc>
          <w:tcPr>
            <w:tcW w:w="855" w:type="dxa"/>
            <w:tcMar>
              <w:left w:w="0" w:type="dxa"/>
              <w:right w:w="0" w:type="dxa"/>
            </w:tcMar>
          </w:tcPr>
          <w:p w14:paraId="0E7B4B94" w14:textId="77777777" w:rsidR="00A1760D" w:rsidRPr="004335CC" w:rsidRDefault="00A1760D" w:rsidP="00D869B9">
            <w:pPr>
              <w:pStyle w:val="DocumentInfoblok5"/>
            </w:pPr>
          </w:p>
        </w:tc>
        <w:tc>
          <w:tcPr>
            <w:tcW w:w="2589" w:type="dxa"/>
            <w:gridSpan w:val="2"/>
          </w:tcPr>
          <w:p w14:paraId="0E7B4B95" w14:textId="77777777" w:rsidR="00A1760D" w:rsidRPr="004335CC" w:rsidRDefault="00A1760D" w:rsidP="00D869B9">
            <w:pPr>
              <w:pStyle w:val="DocumentInfoblok5"/>
            </w:pPr>
          </w:p>
        </w:tc>
      </w:tr>
      <w:tr w:rsidR="00A1760D" w:rsidRPr="004335CC" w14:paraId="0E7B4B9A" w14:textId="77777777" w:rsidTr="0052542F">
        <w:trPr>
          <w:trHeight w:val="340"/>
        </w:trPr>
        <w:tc>
          <w:tcPr>
            <w:tcW w:w="6096" w:type="dxa"/>
            <w:tcMar>
              <w:left w:w="0" w:type="dxa"/>
              <w:right w:w="0" w:type="dxa"/>
            </w:tcMar>
          </w:tcPr>
          <w:p w14:paraId="0E7B4B97" w14:textId="77777777" w:rsidR="00A1760D" w:rsidRPr="004335CC" w:rsidRDefault="00A1760D" w:rsidP="00D869B9">
            <w:pPr>
              <w:pStyle w:val="NAWgegevensblok6"/>
            </w:pPr>
          </w:p>
        </w:tc>
        <w:tc>
          <w:tcPr>
            <w:tcW w:w="855" w:type="dxa"/>
            <w:tcMar>
              <w:left w:w="0" w:type="dxa"/>
              <w:right w:w="0" w:type="dxa"/>
            </w:tcMar>
          </w:tcPr>
          <w:p w14:paraId="0E7B4B98" w14:textId="77777777" w:rsidR="00A1760D" w:rsidRPr="004335CC" w:rsidRDefault="00A1760D" w:rsidP="00D869B9">
            <w:pPr>
              <w:pStyle w:val="DocumentInfoblok5"/>
            </w:pPr>
          </w:p>
        </w:tc>
        <w:tc>
          <w:tcPr>
            <w:tcW w:w="2589" w:type="dxa"/>
            <w:gridSpan w:val="2"/>
          </w:tcPr>
          <w:p w14:paraId="0E7B4B99" w14:textId="77777777" w:rsidR="00A1760D" w:rsidRPr="004335CC" w:rsidRDefault="00A1760D" w:rsidP="00D869B9">
            <w:pPr>
              <w:pStyle w:val="DocumentInfoblok5"/>
            </w:pPr>
          </w:p>
        </w:tc>
      </w:tr>
    </w:tbl>
    <w:p w14:paraId="0E7B4B9B" w14:textId="77777777" w:rsidR="009E53BA" w:rsidRPr="009E53BA" w:rsidRDefault="009E53BA" w:rsidP="009E53BA">
      <w:pPr>
        <w:rPr>
          <w:vanish/>
        </w:rPr>
      </w:pPr>
    </w:p>
    <w:tbl>
      <w:tblPr>
        <w:tblpPr w:vertAnchor="page" w:horzAnchor="margin" w:tblpXSpec="center" w:tblpY="7201"/>
        <w:tblOverlap w:val="never"/>
        <w:tblW w:w="9543" w:type="dxa"/>
        <w:tblCellMar>
          <w:left w:w="0" w:type="dxa"/>
          <w:right w:w="0" w:type="dxa"/>
        </w:tblCellMar>
        <w:tblLook w:val="01E0" w:firstRow="1" w:lastRow="1" w:firstColumn="1" w:lastColumn="1" w:noHBand="0" w:noVBand="0"/>
      </w:tblPr>
      <w:tblGrid>
        <w:gridCol w:w="9543"/>
      </w:tblGrid>
      <w:tr w:rsidR="009D5F14" w14:paraId="0E7B4B9D" w14:textId="77777777" w:rsidTr="009D5F14">
        <w:tc>
          <w:tcPr>
            <w:tcW w:w="9543" w:type="dxa"/>
          </w:tcPr>
          <w:p w14:paraId="0E7B4B9C" w14:textId="77777777" w:rsidR="009D5F14" w:rsidRPr="00C909B6" w:rsidRDefault="009D5F14" w:rsidP="005B6C0C">
            <w:pPr>
              <w:pStyle w:val="Titelreport"/>
              <w:framePr w:wrap="auto" w:vAnchor="margin" w:hAnchor="text" w:xAlign="left" w:yAlign="inline"/>
              <w:spacing w:line="360" w:lineRule="exact"/>
              <w:rPr>
                <w:b w:val="0"/>
              </w:rPr>
            </w:pPr>
          </w:p>
        </w:tc>
      </w:tr>
      <w:tr w:rsidR="009D5F14" w:rsidRPr="00C909B6" w14:paraId="0E7B4B9F" w14:textId="77777777" w:rsidTr="009D5F14">
        <w:tc>
          <w:tcPr>
            <w:tcW w:w="9543" w:type="dxa"/>
          </w:tcPr>
          <w:p w14:paraId="0E7B4B9E" w14:textId="77777777" w:rsidR="009D5F14" w:rsidRDefault="009D5F14" w:rsidP="009D5F14">
            <w:pPr>
              <w:pStyle w:val="SubtitelReport"/>
              <w:framePr w:wrap="auto" w:vAnchor="margin" w:hAnchor="text" w:xAlign="left" w:yAlign="inline"/>
              <w:ind w:left="360"/>
            </w:pPr>
            <w:r>
              <w:t xml:space="preserve">      </w:t>
            </w:r>
          </w:p>
        </w:tc>
      </w:tr>
      <w:tr w:rsidR="009D5F14" w14:paraId="0E7B4BA2" w14:textId="77777777" w:rsidTr="009D5F14">
        <w:tc>
          <w:tcPr>
            <w:tcW w:w="9543" w:type="dxa"/>
          </w:tcPr>
          <w:p w14:paraId="0E7B4BA0" w14:textId="77777777" w:rsidR="009D5F14" w:rsidRDefault="009D5F14" w:rsidP="009D5F14">
            <w:pPr>
              <w:pStyle w:val="SubtitelReport"/>
              <w:framePr w:wrap="auto" w:vAnchor="margin" w:hAnchor="text" w:xAlign="left" w:yAlign="inline"/>
            </w:pPr>
          </w:p>
          <w:p w14:paraId="0E7B4BA1" w14:textId="77777777" w:rsidR="009D5F14" w:rsidRPr="00077807" w:rsidRDefault="009D5F14" w:rsidP="009D5F14">
            <w:pPr>
              <w:pStyle w:val="SubtitelReport"/>
              <w:framePr w:wrap="auto" w:vAnchor="margin" w:hAnchor="text" w:xAlign="left" w:yAlign="inline"/>
            </w:pPr>
          </w:p>
        </w:tc>
      </w:tr>
      <w:tr w:rsidR="009D5F14" w:rsidRPr="00C909B6" w14:paraId="0E7B4BA4" w14:textId="77777777" w:rsidTr="009D5F14">
        <w:tc>
          <w:tcPr>
            <w:tcW w:w="9543" w:type="dxa"/>
          </w:tcPr>
          <w:p w14:paraId="0E7B4BA3" w14:textId="77777777" w:rsidR="009D5F14" w:rsidRDefault="009D5F14" w:rsidP="009D5F14">
            <w:pPr>
              <w:pStyle w:val="SubtitelReport"/>
              <w:framePr w:wrap="auto" w:vAnchor="margin" w:hAnchor="text" w:xAlign="left" w:yAlign="inline"/>
            </w:pPr>
          </w:p>
        </w:tc>
      </w:tr>
      <w:tr w:rsidR="009D5F14" w14:paraId="0E7B4BA7" w14:textId="77777777" w:rsidTr="009D5F14">
        <w:tc>
          <w:tcPr>
            <w:tcW w:w="9543" w:type="dxa"/>
          </w:tcPr>
          <w:p w14:paraId="0E7B4BA5" w14:textId="77777777" w:rsidR="009D5F14" w:rsidRPr="009D5F14" w:rsidRDefault="009D5F14" w:rsidP="009D5F14">
            <w:pPr>
              <w:pStyle w:val="SubtitelReport"/>
              <w:framePr w:wrap="auto" w:vAnchor="margin" w:hAnchor="text" w:xAlign="left" w:yAlign="inline"/>
              <w:rPr>
                <w:sz w:val="32"/>
                <w:szCs w:val="32"/>
              </w:rPr>
            </w:pPr>
            <w:r w:rsidRPr="009D5F14">
              <w:rPr>
                <w:sz w:val="32"/>
                <w:szCs w:val="32"/>
              </w:rPr>
              <w:t>Technická zpráva</w:t>
            </w:r>
          </w:p>
          <w:p w14:paraId="0E7B4BA6" w14:textId="77777777" w:rsidR="009D5F14" w:rsidRDefault="009D5F14" w:rsidP="009D5F14"/>
        </w:tc>
      </w:tr>
    </w:tbl>
    <w:p w14:paraId="0E7B4BA8" w14:textId="77777777" w:rsidR="006B621E" w:rsidRPr="00C22A3C" w:rsidRDefault="006B621E" w:rsidP="006B621E"/>
    <w:tbl>
      <w:tblPr>
        <w:tblW w:w="0" w:type="auto"/>
        <w:tblLayout w:type="fixed"/>
        <w:tblCellMar>
          <w:left w:w="70" w:type="dxa"/>
          <w:right w:w="70" w:type="dxa"/>
        </w:tblCellMar>
        <w:tblLook w:val="0000" w:firstRow="0" w:lastRow="0" w:firstColumn="0" w:lastColumn="0" w:noHBand="0" w:noVBand="0"/>
      </w:tblPr>
      <w:tblGrid>
        <w:gridCol w:w="1418"/>
        <w:gridCol w:w="7371"/>
      </w:tblGrid>
      <w:tr w:rsidR="00873280" w:rsidRPr="00C22A3C" w14:paraId="0E7B4BAB" w14:textId="77777777">
        <w:trPr>
          <w:trHeight w:val="89"/>
        </w:trPr>
        <w:tc>
          <w:tcPr>
            <w:tcW w:w="1418" w:type="dxa"/>
          </w:tcPr>
          <w:p w14:paraId="0E7B4BA9" w14:textId="77777777" w:rsidR="00873280" w:rsidRPr="007D7EC4" w:rsidRDefault="00873280" w:rsidP="00EA30FF"/>
        </w:tc>
        <w:tc>
          <w:tcPr>
            <w:tcW w:w="7371" w:type="dxa"/>
          </w:tcPr>
          <w:p w14:paraId="0E7B4BAA" w14:textId="77777777" w:rsidR="00873280" w:rsidRPr="007D7EC4" w:rsidRDefault="00873280" w:rsidP="00EA30FF"/>
        </w:tc>
      </w:tr>
      <w:tr w:rsidR="004744BF" w:rsidRPr="00C22A3C" w14:paraId="0E7B4BAE" w14:textId="77777777">
        <w:trPr>
          <w:trHeight w:val="89"/>
        </w:trPr>
        <w:tc>
          <w:tcPr>
            <w:tcW w:w="1418" w:type="dxa"/>
          </w:tcPr>
          <w:p w14:paraId="0E7B4BAC" w14:textId="77777777" w:rsidR="004744BF" w:rsidRPr="007D7EC4" w:rsidRDefault="004744BF" w:rsidP="004744BF"/>
        </w:tc>
        <w:tc>
          <w:tcPr>
            <w:tcW w:w="7371" w:type="dxa"/>
          </w:tcPr>
          <w:p w14:paraId="0E7B4BAD" w14:textId="77777777" w:rsidR="004744BF" w:rsidRPr="007D7EC4" w:rsidRDefault="004744BF" w:rsidP="004744BF"/>
        </w:tc>
      </w:tr>
      <w:tr w:rsidR="006B621E" w:rsidRPr="00C22A3C" w14:paraId="0E7B4BB1" w14:textId="77777777">
        <w:trPr>
          <w:trHeight w:val="89"/>
        </w:trPr>
        <w:tc>
          <w:tcPr>
            <w:tcW w:w="1418" w:type="dxa"/>
          </w:tcPr>
          <w:p w14:paraId="0E7B4BAF" w14:textId="77777777" w:rsidR="006B621E" w:rsidRPr="00C22A3C" w:rsidRDefault="006B621E" w:rsidP="00616126"/>
        </w:tc>
        <w:tc>
          <w:tcPr>
            <w:tcW w:w="7371" w:type="dxa"/>
          </w:tcPr>
          <w:p w14:paraId="0E7B4BB0" w14:textId="77777777" w:rsidR="006B621E" w:rsidRPr="00C22A3C" w:rsidRDefault="006B621E" w:rsidP="00616126"/>
        </w:tc>
      </w:tr>
    </w:tbl>
    <w:p w14:paraId="0E7B4BB2" w14:textId="77777777" w:rsidR="00173901" w:rsidRPr="00173901" w:rsidRDefault="00173901" w:rsidP="00173901">
      <w:pPr>
        <w:rPr>
          <w:vanish/>
        </w:rPr>
      </w:pPr>
      <w:bookmarkStart w:id="0" w:name="Revisie2"/>
      <w:bookmarkEnd w:id="0"/>
    </w:p>
    <w:tbl>
      <w:tblPr>
        <w:tblpPr w:leftFromText="85" w:rightFromText="85" w:vertAnchor="page" w:horzAnchor="page" w:tblpX="1787" w:tblpY="12475"/>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170" w:type="dxa"/>
        </w:tblCellMar>
        <w:tblLook w:val="01E0" w:firstRow="1" w:lastRow="1" w:firstColumn="1" w:lastColumn="1" w:noHBand="0" w:noVBand="0"/>
      </w:tblPr>
      <w:tblGrid>
        <w:gridCol w:w="632"/>
        <w:gridCol w:w="1132"/>
        <w:gridCol w:w="3334"/>
        <w:gridCol w:w="3969"/>
      </w:tblGrid>
      <w:tr w:rsidR="00F5524C" w:rsidRPr="00C22A3C" w14:paraId="0E7B4BB7" w14:textId="77777777" w:rsidTr="002E7693">
        <w:trPr>
          <w:trHeight w:hRule="exact" w:val="1134"/>
        </w:trPr>
        <w:tc>
          <w:tcPr>
            <w:tcW w:w="632" w:type="dxa"/>
            <w:tcBorders>
              <w:bottom w:val="single" w:sz="4" w:space="0" w:color="auto"/>
            </w:tcBorders>
            <w:tcMar>
              <w:left w:w="85" w:type="dxa"/>
              <w:right w:w="170" w:type="dxa"/>
            </w:tcMar>
          </w:tcPr>
          <w:p w14:paraId="0E7B4BB3" w14:textId="77777777" w:rsidR="00F5524C" w:rsidRPr="00C909B6" w:rsidRDefault="00F471F3" w:rsidP="00C909B6">
            <w:pPr>
              <w:jc w:val="left"/>
              <w:rPr>
                <w:sz w:val="15"/>
                <w:szCs w:val="15"/>
              </w:rPr>
            </w:pPr>
            <w:r w:rsidRPr="00C909B6">
              <w:rPr>
                <w:sz w:val="15"/>
                <w:szCs w:val="15"/>
              </w:rPr>
              <w:fldChar w:fldCharType="begin"/>
            </w:r>
            <w:r w:rsidR="00F5524C" w:rsidRPr="00C909B6">
              <w:rPr>
                <w:sz w:val="15"/>
                <w:szCs w:val="15"/>
              </w:rPr>
              <w:instrText xml:space="preserve"> DOCVARIABLE SE0652 /nounlink</w:instrText>
            </w:r>
            <w:r w:rsidRPr="00C909B6">
              <w:rPr>
                <w:sz w:val="15"/>
                <w:szCs w:val="15"/>
              </w:rPr>
              <w:fldChar w:fldCharType="separate"/>
            </w:r>
            <w:r w:rsidR="00F5524C" w:rsidRPr="00C909B6">
              <w:rPr>
                <w:sz w:val="15"/>
                <w:szCs w:val="15"/>
              </w:rPr>
              <w:t xml:space="preserve"> </w:t>
            </w:r>
            <w:r w:rsidRPr="00C909B6">
              <w:rPr>
                <w:sz w:val="15"/>
                <w:szCs w:val="15"/>
              </w:rPr>
              <w:fldChar w:fldCharType="end"/>
            </w:r>
            <w:r w:rsidR="00F5524C" w:rsidRPr="00C909B6">
              <w:rPr>
                <w:sz w:val="15"/>
                <w:szCs w:val="15"/>
              </w:rPr>
              <w:t>0</w:t>
            </w:r>
          </w:p>
        </w:tc>
        <w:tc>
          <w:tcPr>
            <w:tcW w:w="1132" w:type="dxa"/>
            <w:tcBorders>
              <w:bottom w:val="single" w:sz="4" w:space="0" w:color="auto"/>
            </w:tcBorders>
          </w:tcPr>
          <w:p w14:paraId="0E7B4BB4" w14:textId="77777777" w:rsidR="00F5524C" w:rsidRPr="00C909B6" w:rsidRDefault="000072F9" w:rsidP="00437740">
            <w:pPr>
              <w:jc w:val="left"/>
              <w:rPr>
                <w:sz w:val="15"/>
                <w:szCs w:val="15"/>
              </w:rPr>
            </w:pPr>
            <w:r>
              <w:rPr>
                <w:sz w:val="15"/>
                <w:szCs w:val="15"/>
              </w:rPr>
              <w:t>11</w:t>
            </w:r>
            <w:r w:rsidR="00F5524C" w:rsidRPr="00C909B6">
              <w:rPr>
                <w:sz w:val="15"/>
                <w:szCs w:val="15"/>
              </w:rPr>
              <w:t>/201</w:t>
            </w:r>
            <w:r w:rsidR="00554BE2">
              <w:rPr>
                <w:sz w:val="15"/>
                <w:szCs w:val="15"/>
              </w:rPr>
              <w:t>9</w:t>
            </w:r>
          </w:p>
        </w:tc>
        <w:tc>
          <w:tcPr>
            <w:tcW w:w="3334" w:type="dxa"/>
            <w:shd w:val="clear" w:color="auto" w:fill="auto"/>
          </w:tcPr>
          <w:p w14:paraId="19D97028" w14:textId="77777777" w:rsidR="00F5524C" w:rsidRDefault="00F5524C" w:rsidP="00916EE8">
            <w:pPr>
              <w:jc w:val="left"/>
              <w:rPr>
                <w:sz w:val="15"/>
                <w:szCs w:val="15"/>
              </w:rPr>
            </w:pPr>
            <w:r w:rsidRPr="007D7EC4">
              <w:rPr>
                <w:sz w:val="15"/>
                <w:szCs w:val="15"/>
              </w:rPr>
              <w:t xml:space="preserve">Ing. Jaroslav Holáň </w:t>
            </w:r>
          </w:p>
          <w:p w14:paraId="161C9885" w14:textId="5C08E7EE" w:rsidR="00EE3401" w:rsidRDefault="00560124" w:rsidP="00EE3401">
            <w:pPr>
              <w:rPr>
                <w:sz w:val="15"/>
                <w:szCs w:val="15"/>
              </w:rPr>
            </w:pPr>
            <w:r>
              <w:rPr>
                <w:noProof/>
              </w:rPr>
              <mc:AlternateContent>
                <mc:Choice Requires="wpi">
                  <w:drawing>
                    <wp:anchor distT="0" distB="0" distL="114300" distR="114300" simplePos="0" relativeHeight="251659264" behindDoc="0" locked="0" layoutInCell="1" allowOverlap="1" wp14:anchorId="5334EC6A" wp14:editId="2778B01C">
                      <wp:simplePos x="0" y="0"/>
                      <wp:positionH relativeFrom="column">
                        <wp:posOffset>494665</wp:posOffset>
                      </wp:positionH>
                      <wp:positionV relativeFrom="paragraph">
                        <wp:posOffset>44450</wp:posOffset>
                      </wp:positionV>
                      <wp:extent cx="880110" cy="414655"/>
                      <wp:effectExtent l="53340" t="53340" r="47625" b="46355"/>
                      <wp:wrapNone/>
                      <wp:docPr id="3" name="Rukopis 1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
                            <w14:nvContentPartPr>
                              <w14:cNvContentPartPr>
                                <a14:cpLocks xmlns:a14="http://schemas.microsoft.com/office/drawing/2010/main" noRot="1" noChangeAspect="1" noEditPoints="1" noChangeArrowheads="1" noChangeShapeType="1"/>
                              </w14:cNvContentPartPr>
                            </w14:nvContentPartPr>
                            <w14:xfrm>
                              <a:off x="0" y="0"/>
                              <a:ext cx="880110" cy="414655"/>
                            </w14:xfrm>
                          </w14:contentPart>
                        </a:graphicData>
                      </a:graphic>
                      <wp14:sizeRelH relativeFrom="margin">
                        <wp14:pctWidth>0</wp14:pctWidth>
                      </wp14:sizeRelH>
                      <wp14:sizeRelV relativeFrom="margin">
                        <wp14:pctHeight>0</wp14:pctHeight>
                      </wp14:sizeRelV>
                    </wp:anchor>
                  </w:drawing>
                </mc:Choice>
                <mc:Fallback>
                  <w:pict>
                    <v:shapetype w14:anchorId="3483AF6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16" o:spid="_x0000_s1026" type="#_x0000_t75" style="position:absolute;margin-left:38.35pt;margin-top:2.9pt;width:70.5pt;height:3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">
                      <v:imagedata r:id="rId12" o:title=""/>
                      <o:lock v:ext="edit" rotation="t" verticies="t" shapetype="t"/>
                    </v:shape>
                  </w:pict>
                </mc:Fallback>
              </mc:AlternateContent>
            </w:r>
          </w:p>
          <w:p w14:paraId="0E7B4BB5" w14:textId="755C6565" w:rsidR="00EE3401" w:rsidRPr="00EE3401" w:rsidRDefault="00EE3401" w:rsidP="00EE3401">
            <w:pPr>
              <w:tabs>
                <w:tab w:val="left" w:pos="960"/>
              </w:tabs>
              <w:rPr>
                <w:sz w:val="15"/>
                <w:szCs w:val="15"/>
              </w:rPr>
            </w:pPr>
            <w:r>
              <w:rPr>
                <w:sz w:val="15"/>
                <w:szCs w:val="15"/>
              </w:rPr>
              <w:tab/>
            </w:r>
          </w:p>
        </w:tc>
        <w:tc>
          <w:tcPr>
            <w:tcW w:w="3969" w:type="dxa"/>
            <w:shd w:val="clear" w:color="auto" w:fill="auto"/>
          </w:tcPr>
          <w:p w14:paraId="1D4296A2" w14:textId="4059D46F" w:rsidR="00F5524C" w:rsidRDefault="00560124">
            <w:pPr>
              <w:rPr>
                <w:sz w:val="15"/>
                <w:szCs w:val="15"/>
              </w:rPr>
            </w:pPr>
            <w:r>
              <w:rPr>
                <w:noProof/>
                <w:sz w:val="15"/>
                <w:szCs w:val="15"/>
              </w:rPr>
              <mc:AlternateContent>
                <mc:Choice Requires="wpi">
                  <w:drawing>
                    <wp:anchor distT="0" distB="0" distL="114300" distR="114300" simplePos="0" relativeHeight="251660288" behindDoc="0" locked="0" layoutInCell="1" allowOverlap="1" wp14:anchorId="5334EC6A" wp14:editId="544A4585">
                      <wp:simplePos x="0" y="0"/>
                      <wp:positionH relativeFrom="column">
                        <wp:posOffset>711200</wp:posOffset>
                      </wp:positionH>
                      <wp:positionV relativeFrom="paragraph">
                        <wp:posOffset>155575</wp:posOffset>
                      </wp:positionV>
                      <wp:extent cx="880110" cy="414655"/>
                      <wp:effectExtent l="53340" t="53340" r="38100" b="46355"/>
                      <wp:wrapNone/>
                      <wp:docPr id="2" name="Ink 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3">
                            <w14:nvContentPartPr>
                              <w14:cNvContentPartPr>
                                <a14:cpLocks xmlns:a14="http://schemas.microsoft.com/office/drawing/2010/main" noRot="1" noChangeAspect="1" noEditPoints="1" noChangeArrowheads="1" noChangeShapeType="1"/>
                              </w14:cNvContentPartPr>
                            </w14:nvContentPartPr>
                            <w14:xfrm>
                              <a:off x="0" y="0"/>
                              <a:ext cx="880110" cy="414655"/>
                            </w14:xfrm>
                          </w14:contentPart>
                        </a:graphicData>
                      </a:graphic>
                      <wp14:sizeRelH relativeFrom="margin">
                        <wp14:pctWidth>0</wp14:pctWidth>
                      </wp14:sizeRelH>
                      <wp14:sizeRelV relativeFrom="margin">
                        <wp14:pctHeight>0</wp14:pctHeight>
                      </wp14:sizeRelV>
                    </wp:anchor>
                  </w:drawing>
                </mc:Choice>
                <mc:Fallback>
                  <w:pict>
                    <v:shape w14:anchorId="244B47D8" id="Ink 3" o:spid="_x0000_s1026" type="#_x0000_t75" style="position:absolute;margin-left:55.4pt;margin-top:11.65pt;width:70.5pt;height:3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">
                      <v:imagedata r:id="rId12" o:title=""/>
                      <o:lock v:ext="edit" rotation="t" verticies="t" shapetype="t"/>
                    </v:shape>
                  </w:pict>
                </mc:Fallback>
              </mc:AlternateContent>
            </w:r>
            <w:r w:rsidR="00F5524C" w:rsidRPr="007D7EC4">
              <w:rPr>
                <w:sz w:val="15"/>
                <w:szCs w:val="15"/>
              </w:rPr>
              <w:t>Ing. Jaroslav Holáň</w:t>
            </w:r>
          </w:p>
          <w:p w14:paraId="01A6F4D0" w14:textId="704366EC" w:rsidR="00EE3401" w:rsidRDefault="00EE3401">
            <w:pPr>
              <w:rPr>
                <w:sz w:val="15"/>
                <w:szCs w:val="15"/>
              </w:rPr>
            </w:pPr>
          </w:p>
          <w:p w14:paraId="0E7B4BB6" w14:textId="1E997EEC" w:rsidR="00EE3401" w:rsidRPr="007D7EC4" w:rsidRDefault="00EE3401"/>
        </w:tc>
      </w:tr>
      <w:tr w:rsidR="00F5524C" w:rsidRPr="00C22A3C" w14:paraId="0E7B4BBC" w14:textId="77777777" w:rsidTr="002E7693">
        <w:trPr>
          <w:trHeight w:hRule="exact" w:val="284"/>
        </w:trPr>
        <w:tc>
          <w:tcPr>
            <w:tcW w:w="632" w:type="dxa"/>
            <w:shd w:val="clear" w:color="auto" w:fill="auto"/>
            <w:tcMar>
              <w:left w:w="85" w:type="dxa"/>
              <w:right w:w="170" w:type="dxa"/>
            </w:tcMar>
          </w:tcPr>
          <w:p w14:paraId="0E7B4BB8" w14:textId="77777777" w:rsidR="00F5524C" w:rsidRPr="00C909B6" w:rsidRDefault="00F5524C" w:rsidP="00C909B6">
            <w:pPr>
              <w:jc w:val="left"/>
              <w:rPr>
                <w:sz w:val="15"/>
                <w:szCs w:val="15"/>
              </w:rPr>
            </w:pPr>
            <w:proofErr w:type="spellStart"/>
            <w:r w:rsidRPr="00C909B6">
              <w:rPr>
                <w:sz w:val="15"/>
                <w:szCs w:val="15"/>
              </w:rPr>
              <w:t>Rev</w:t>
            </w:r>
            <w:proofErr w:type="spellEnd"/>
            <w:r w:rsidRPr="00C909B6">
              <w:rPr>
                <w:sz w:val="15"/>
                <w:szCs w:val="15"/>
              </w:rPr>
              <w:t>.</w:t>
            </w:r>
          </w:p>
        </w:tc>
        <w:tc>
          <w:tcPr>
            <w:tcW w:w="1132" w:type="dxa"/>
            <w:shd w:val="clear" w:color="auto" w:fill="auto"/>
          </w:tcPr>
          <w:p w14:paraId="0E7B4BB9" w14:textId="77777777" w:rsidR="00F5524C" w:rsidRPr="00C909B6" w:rsidRDefault="00F5524C" w:rsidP="00C909B6">
            <w:pPr>
              <w:jc w:val="left"/>
              <w:rPr>
                <w:sz w:val="15"/>
                <w:szCs w:val="15"/>
              </w:rPr>
            </w:pPr>
            <w:r w:rsidRPr="00C909B6">
              <w:rPr>
                <w:sz w:val="15"/>
                <w:szCs w:val="15"/>
              </w:rPr>
              <w:t>Datum</w:t>
            </w:r>
          </w:p>
        </w:tc>
        <w:tc>
          <w:tcPr>
            <w:tcW w:w="3334" w:type="dxa"/>
            <w:shd w:val="clear" w:color="auto" w:fill="auto"/>
          </w:tcPr>
          <w:p w14:paraId="0E7B4BBA" w14:textId="77777777" w:rsidR="00F5524C" w:rsidRPr="00C909B6" w:rsidRDefault="00F5524C" w:rsidP="00C909B6">
            <w:pPr>
              <w:jc w:val="left"/>
              <w:rPr>
                <w:sz w:val="15"/>
                <w:szCs w:val="15"/>
              </w:rPr>
            </w:pPr>
            <w:r w:rsidRPr="00C909B6">
              <w:rPr>
                <w:sz w:val="15"/>
                <w:szCs w:val="15"/>
              </w:rPr>
              <w:t>Vypracoval</w:t>
            </w:r>
          </w:p>
        </w:tc>
        <w:tc>
          <w:tcPr>
            <w:tcW w:w="3969" w:type="dxa"/>
            <w:shd w:val="clear" w:color="auto" w:fill="auto"/>
          </w:tcPr>
          <w:p w14:paraId="0E7B4BBB" w14:textId="77777777" w:rsidR="00F5524C" w:rsidRPr="00C909B6" w:rsidRDefault="00F5524C" w:rsidP="00C909B6">
            <w:pPr>
              <w:jc w:val="left"/>
              <w:rPr>
                <w:sz w:val="15"/>
                <w:szCs w:val="15"/>
              </w:rPr>
            </w:pPr>
            <w:r w:rsidRPr="00C909B6">
              <w:rPr>
                <w:sz w:val="15"/>
                <w:szCs w:val="15"/>
              </w:rPr>
              <w:t>Zodpovědný projektant</w:t>
            </w:r>
          </w:p>
        </w:tc>
        <w:bookmarkStart w:id="1" w:name="Auteur2"/>
        <w:bookmarkEnd w:id="1"/>
      </w:tr>
    </w:tbl>
    <w:p w14:paraId="0E7B4BBD" w14:textId="77777777" w:rsidR="005637ED" w:rsidRPr="00C22A3C" w:rsidRDefault="005637ED" w:rsidP="00FA6E92"/>
    <w:tbl>
      <w:tblPr>
        <w:tblpPr w:vertAnchor="page" w:horzAnchor="page" w:tblpX="1702" w:tblpY="14346"/>
        <w:tblOverlap w:val="never"/>
        <w:tblW w:w="9533" w:type="dxa"/>
        <w:tblLayout w:type="fixed"/>
        <w:tblCellMar>
          <w:left w:w="0" w:type="dxa"/>
          <w:right w:w="0" w:type="dxa"/>
        </w:tblCellMar>
        <w:tblLook w:val="01E0" w:firstRow="1" w:lastRow="1" w:firstColumn="1" w:lastColumn="1" w:noHBand="0" w:noVBand="0"/>
      </w:tblPr>
      <w:tblGrid>
        <w:gridCol w:w="9533"/>
      </w:tblGrid>
      <w:tr w:rsidR="00DE5C38" w:rsidRPr="00C22A3C" w14:paraId="0E7B4BC0" w14:textId="77777777">
        <w:tc>
          <w:tcPr>
            <w:tcW w:w="9533" w:type="dxa"/>
            <w:tcMar>
              <w:left w:w="0" w:type="dxa"/>
              <w:right w:w="0" w:type="dxa"/>
            </w:tcMar>
          </w:tcPr>
          <w:p w14:paraId="0E7B4BBE" w14:textId="77777777" w:rsidR="00DE5C38" w:rsidRPr="00C22A3C" w:rsidRDefault="00DE5C38" w:rsidP="00DE5C38">
            <w:pPr>
              <w:pStyle w:val="Mededelingenblok7"/>
            </w:pPr>
          </w:p>
          <w:p w14:paraId="0E7B4BBF" w14:textId="77777777" w:rsidR="00DE5C38" w:rsidRPr="00C22A3C" w:rsidRDefault="006B621E" w:rsidP="006B621E">
            <w:pPr>
              <w:pStyle w:val="Mededelingenblok7"/>
            </w:pPr>
            <w:r w:rsidRPr="00C22A3C">
              <w:lastRenderedPageBreak/>
              <w:t>Všechna práva vyhrazena. Žádná část této publikace nesmí být kopírována nebo přenesena v jakékoliv formě nebo jakýmikoliv prostředky bez povolení vydavatele.</w:t>
            </w:r>
          </w:p>
        </w:tc>
      </w:tr>
    </w:tbl>
    <w:p w14:paraId="0E7B4BC1" w14:textId="77777777" w:rsidR="00446B73" w:rsidRDefault="00446B73" w:rsidP="00446B73">
      <w:pPr>
        <w:pStyle w:val="Obsah1"/>
        <w:tabs>
          <w:tab w:val="left" w:pos="380"/>
          <w:tab w:val="right" w:pos="9516"/>
        </w:tabs>
        <w:spacing w:before="0"/>
        <w:rPr>
          <w:b w:val="0"/>
          <w:bCs w:val="0"/>
          <w:caps/>
        </w:rPr>
      </w:pPr>
    </w:p>
    <w:p w14:paraId="0E7B4BC2" w14:textId="77777777" w:rsidR="00A77B8D" w:rsidRDefault="00A77B8D" w:rsidP="00A77B8D"/>
    <w:p w14:paraId="0E7B4BC3" w14:textId="77777777" w:rsidR="00A77B8D" w:rsidRDefault="00A77B8D" w:rsidP="00A77B8D"/>
    <w:tbl>
      <w:tblPr>
        <w:tblW w:w="8080" w:type="dxa"/>
        <w:tblInd w:w="851" w:type="dxa"/>
        <w:tblLayout w:type="fixed"/>
        <w:tblCellMar>
          <w:left w:w="0" w:type="dxa"/>
          <w:right w:w="0" w:type="dxa"/>
        </w:tblCellMar>
        <w:tblLook w:val="0000" w:firstRow="0" w:lastRow="0" w:firstColumn="0" w:lastColumn="0" w:noHBand="0" w:noVBand="0"/>
      </w:tblPr>
      <w:tblGrid>
        <w:gridCol w:w="5953"/>
        <w:gridCol w:w="2127"/>
      </w:tblGrid>
      <w:tr w:rsidR="00446B73" w:rsidRPr="00C22A3C" w14:paraId="0E7B4BC7" w14:textId="77777777">
        <w:trPr>
          <w:cantSplit/>
        </w:trPr>
        <w:tc>
          <w:tcPr>
            <w:tcW w:w="5953" w:type="dxa"/>
          </w:tcPr>
          <w:p w14:paraId="0E7B4BC4" w14:textId="77777777" w:rsidR="00437740" w:rsidRDefault="00437740" w:rsidP="000A410D">
            <w:pPr>
              <w:pStyle w:val="Bold14voor"/>
              <w:spacing w:before="120"/>
              <w:ind w:right="284"/>
            </w:pPr>
          </w:p>
          <w:p w14:paraId="0E7B4BC5" w14:textId="77777777" w:rsidR="00446B73" w:rsidRPr="00C22A3C" w:rsidRDefault="006B621E" w:rsidP="000A410D">
            <w:pPr>
              <w:pStyle w:val="Bold14voor"/>
              <w:spacing w:before="120"/>
              <w:ind w:right="284"/>
            </w:pPr>
            <w:r w:rsidRPr="00C22A3C">
              <w:t>Technická zpráva</w:t>
            </w:r>
          </w:p>
        </w:tc>
        <w:tc>
          <w:tcPr>
            <w:tcW w:w="2127" w:type="dxa"/>
          </w:tcPr>
          <w:p w14:paraId="0E7B4BC6" w14:textId="77777777" w:rsidR="00446B73" w:rsidRPr="00C22A3C" w:rsidRDefault="009D5F14" w:rsidP="004C1453">
            <w:pPr>
              <w:pStyle w:val="Bold14voor"/>
              <w:spacing w:before="120"/>
              <w:ind w:left="114"/>
              <w:rPr>
                <w:b w:val="0"/>
              </w:rPr>
            </w:pPr>
            <w:r>
              <w:t>TZ-01</w:t>
            </w:r>
          </w:p>
        </w:tc>
      </w:tr>
    </w:tbl>
    <w:p w14:paraId="5E29B662" w14:textId="093BF782" w:rsidR="0099218E" w:rsidRDefault="00F471F3">
      <w:pPr>
        <w:pStyle w:val="Obsah1"/>
        <w:rPr>
          <w:rFonts w:asciiTheme="minorHAnsi" w:eastAsiaTheme="minorEastAsia" w:hAnsiTheme="minorHAnsi" w:cstheme="minorBidi"/>
          <w:b w:val="0"/>
          <w:bCs w:val="0"/>
          <w:noProof/>
          <w:sz w:val="22"/>
          <w:szCs w:val="22"/>
          <w:lang w:eastAsia="cs-CZ"/>
        </w:rPr>
      </w:pPr>
      <w:r>
        <w:fldChar w:fldCharType="begin"/>
      </w:r>
      <w:r w:rsidR="00A93AEF">
        <w:instrText xml:space="preserve"> TOC \o "1-2" \h \z \u </w:instrText>
      </w:r>
      <w:r>
        <w:fldChar w:fldCharType="separate"/>
      </w:r>
      <w:hyperlink w:anchor="_Toc26771901" w:history="1">
        <w:r w:rsidR="0099218E" w:rsidRPr="00015385">
          <w:rPr>
            <w:rStyle w:val="Hypertextovodkaz"/>
            <w:rFonts w:cs="Times New Roman"/>
            <w:noProof/>
          </w:rPr>
          <w:t>1</w:t>
        </w:r>
        <w:r w:rsidR="0099218E">
          <w:rPr>
            <w:rFonts w:asciiTheme="minorHAnsi" w:eastAsiaTheme="minorEastAsia" w:hAnsiTheme="minorHAnsi" w:cstheme="minorBidi"/>
            <w:b w:val="0"/>
            <w:bCs w:val="0"/>
            <w:noProof/>
            <w:sz w:val="22"/>
            <w:szCs w:val="22"/>
            <w:lang w:eastAsia="cs-CZ"/>
          </w:rPr>
          <w:tab/>
        </w:r>
        <w:r w:rsidR="0099218E" w:rsidRPr="00015385">
          <w:rPr>
            <w:rStyle w:val="Hypertextovodkaz"/>
            <w:noProof/>
          </w:rPr>
          <w:t>Úvod</w:t>
        </w:r>
        <w:r w:rsidR="0099218E">
          <w:rPr>
            <w:noProof/>
            <w:webHidden/>
          </w:rPr>
          <w:tab/>
        </w:r>
        <w:r w:rsidR="0099218E">
          <w:rPr>
            <w:noProof/>
            <w:webHidden/>
          </w:rPr>
          <w:fldChar w:fldCharType="begin"/>
        </w:r>
        <w:r w:rsidR="0099218E">
          <w:rPr>
            <w:noProof/>
            <w:webHidden/>
          </w:rPr>
          <w:instrText xml:space="preserve"> PAGEREF _Toc26771901 \h </w:instrText>
        </w:r>
        <w:r w:rsidR="0099218E">
          <w:rPr>
            <w:noProof/>
            <w:webHidden/>
          </w:rPr>
        </w:r>
        <w:r w:rsidR="0099218E">
          <w:rPr>
            <w:noProof/>
            <w:webHidden/>
          </w:rPr>
          <w:fldChar w:fldCharType="separate"/>
        </w:r>
        <w:r w:rsidR="005349D7">
          <w:rPr>
            <w:noProof/>
            <w:webHidden/>
          </w:rPr>
          <w:t>3</w:t>
        </w:r>
        <w:r w:rsidR="0099218E">
          <w:rPr>
            <w:noProof/>
            <w:webHidden/>
          </w:rPr>
          <w:fldChar w:fldCharType="end"/>
        </w:r>
      </w:hyperlink>
    </w:p>
    <w:p w14:paraId="0146B4DB" w14:textId="3C804649" w:rsidR="0099218E" w:rsidRDefault="005349D7">
      <w:pPr>
        <w:pStyle w:val="Obsah1"/>
        <w:rPr>
          <w:rFonts w:asciiTheme="minorHAnsi" w:eastAsiaTheme="minorEastAsia" w:hAnsiTheme="minorHAnsi" w:cstheme="minorBidi"/>
          <w:b w:val="0"/>
          <w:bCs w:val="0"/>
          <w:noProof/>
          <w:sz w:val="22"/>
          <w:szCs w:val="22"/>
          <w:lang w:eastAsia="cs-CZ"/>
        </w:rPr>
      </w:pPr>
      <w:hyperlink w:anchor="_Toc26771902" w:history="1">
        <w:r w:rsidR="0099218E" w:rsidRPr="00015385">
          <w:rPr>
            <w:rStyle w:val="Hypertextovodkaz"/>
            <w:rFonts w:cs="Times New Roman"/>
            <w:noProof/>
          </w:rPr>
          <w:t>2</w:t>
        </w:r>
        <w:r w:rsidR="0099218E">
          <w:rPr>
            <w:rFonts w:asciiTheme="minorHAnsi" w:eastAsiaTheme="minorEastAsia" w:hAnsiTheme="minorHAnsi" w:cstheme="minorBidi"/>
            <w:b w:val="0"/>
            <w:bCs w:val="0"/>
            <w:noProof/>
            <w:sz w:val="22"/>
            <w:szCs w:val="22"/>
            <w:lang w:eastAsia="cs-CZ"/>
          </w:rPr>
          <w:tab/>
        </w:r>
        <w:r w:rsidR="0099218E" w:rsidRPr="00015385">
          <w:rPr>
            <w:rStyle w:val="Hypertextovodkaz"/>
            <w:noProof/>
          </w:rPr>
          <w:t>Výchozí podklady pro zpracování</w:t>
        </w:r>
        <w:r w:rsidR="0099218E">
          <w:rPr>
            <w:noProof/>
            <w:webHidden/>
          </w:rPr>
          <w:tab/>
        </w:r>
        <w:r w:rsidR="0099218E">
          <w:rPr>
            <w:noProof/>
            <w:webHidden/>
          </w:rPr>
          <w:fldChar w:fldCharType="begin"/>
        </w:r>
        <w:r w:rsidR="0099218E">
          <w:rPr>
            <w:noProof/>
            <w:webHidden/>
          </w:rPr>
          <w:instrText xml:space="preserve"> PAGEREF _Toc26771902 \h </w:instrText>
        </w:r>
        <w:r w:rsidR="0099218E">
          <w:rPr>
            <w:noProof/>
            <w:webHidden/>
          </w:rPr>
        </w:r>
        <w:r w:rsidR="0099218E">
          <w:rPr>
            <w:noProof/>
            <w:webHidden/>
          </w:rPr>
          <w:fldChar w:fldCharType="separate"/>
        </w:r>
        <w:r>
          <w:rPr>
            <w:noProof/>
            <w:webHidden/>
          </w:rPr>
          <w:t>3</w:t>
        </w:r>
        <w:r w:rsidR="0099218E">
          <w:rPr>
            <w:noProof/>
            <w:webHidden/>
          </w:rPr>
          <w:fldChar w:fldCharType="end"/>
        </w:r>
      </w:hyperlink>
    </w:p>
    <w:p w14:paraId="1094F494" w14:textId="6645D3F1" w:rsidR="0099218E" w:rsidRDefault="005349D7">
      <w:pPr>
        <w:pStyle w:val="Obsah1"/>
        <w:rPr>
          <w:rFonts w:asciiTheme="minorHAnsi" w:eastAsiaTheme="minorEastAsia" w:hAnsiTheme="minorHAnsi" w:cstheme="minorBidi"/>
          <w:b w:val="0"/>
          <w:bCs w:val="0"/>
          <w:noProof/>
          <w:sz w:val="22"/>
          <w:szCs w:val="22"/>
          <w:lang w:eastAsia="cs-CZ"/>
        </w:rPr>
      </w:pPr>
      <w:hyperlink w:anchor="_Toc26771903" w:history="1">
        <w:r w:rsidR="0099218E" w:rsidRPr="00015385">
          <w:rPr>
            <w:rStyle w:val="Hypertextovodkaz"/>
            <w:rFonts w:cs="Times New Roman"/>
            <w:noProof/>
          </w:rPr>
          <w:t>3</w:t>
        </w:r>
        <w:r w:rsidR="0099218E">
          <w:rPr>
            <w:rFonts w:asciiTheme="minorHAnsi" w:eastAsiaTheme="minorEastAsia" w:hAnsiTheme="minorHAnsi" w:cstheme="minorBidi"/>
            <w:b w:val="0"/>
            <w:bCs w:val="0"/>
            <w:noProof/>
            <w:sz w:val="22"/>
            <w:szCs w:val="22"/>
            <w:lang w:eastAsia="cs-CZ"/>
          </w:rPr>
          <w:tab/>
        </w:r>
        <w:r w:rsidR="0099218E" w:rsidRPr="00015385">
          <w:rPr>
            <w:rStyle w:val="Hypertextovodkaz"/>
            <w:noProof/>
          </w:rPr>
          <w:t>Společná ustanovení</w:t>
        </w:r>
        <w:r w:rsidR="0099218E">
          <w:rPr>
            <w:noProof/>
            <w:webHidden/>
          </w:rPr>
          <w:tab/>
        </w:r>
        <w:r w:rsidR="0099218E">
          <w:rPr>
            <w:noProof/>
            <w:webHidden/>
          </w:rPr>
          <w:fldChar w:fldCharType="begin"/>
        </w:r>
        <w:r w:rsidR="0099218E">
          <w:rPr>
            <w:noProof/>
            <w:webHidden/>
          </w:rPr>
          <w:instrText xml:space="preserve"> PAGEREF _Toc26771903 \h </w:instrText>
        </w:r>
        <w:r w:rsidR="0099218E">
          <w:rPr>
            <w:noProof/>
            <w:webHidden/>
          </w:rPr>
        </w:r>
        <w:r w:rsidR="0099218E">
          <w:rPr>
            <w:noProof/>
            <w:webHidden/>
          </w:rPr>
          <w:fldChar w:fldCharType="separate"/>
        </w:r>
        <w:r>
          <w:rPr>
            <w:noProof/>
            <w:webHidden/>
          </w:rPr>
          <w:t>3</w:t>
        </w:r>
        <w:r w:rsidR="0099218E">
          <w:rPr>
            <w:noProof/>
            <w:webHidden/>
          </w:rPr>
          <w:fldChar w:fldCharType="end"/>
        </w:r>
      </w:hyperlink>
    </w:p>
    <w:p w14:paraId="3D777C07" w14:textId="08BBA1E6" w:rsidR="0099218E" w:rsidRDefault="005349D7">
      <w:pPr>
        <w:pStyle w:val="Obsah1"/>
        <w:rPr>
          <w:rFonts w:asciiTheme="minorHAnsi" w:eastAsiaTheme="minorEastAsia" w:hAnsiTheme="minorHAnsi" w:cstheme="minorBidi"/>
          <w:b w:val="0"/>
          <w:bCs w:val="0"/>
          <w:noProof/>
          <w:sz w:val="22"/>
          <w:szCs w:val="22"/>
          <w:lang w:eastAsia="cs-CZ"/>
        </w:rPr>
      </w:pPr>
      <w:hyperlink w:anchor="_Toc26771904" w:history="1">
        <w:r w:rsidR="0099218E" w:rsidRPr="00015385">
          <w:rPr>
            <w:rStyle w:val="Hypertextovodkaz"/>
            <w:rFonts w:cs="Times New Roman"/>
            <w:noProof/>
          </w:rPr>
          <w:t>4</w:t>
        </w:r>
        <w:r w:rsidR="0099218E">
          <w:rPr>
            <w:rFonts w:asciiTheme="minorHAnsi" w:eastAsiaTheme="minorEastAsia" w:hAnsiTheme="minorHAnsi" w:cstheme="minorBidi"/>
            <w:b w:val="0"/>
            <w:bCs w:val="0"/>
            <w:noProof/>
            <w:sz w:val="22"/>
            <w:szCs w:val="22"/>
            <w:lang w:eastAsia="cs-CZ"/>
          </w:rPr>
          <w:tab/>
        </w:r>
        <w:r w:rsidR="0099218E" w:rsidRPr="00015385">
          <w:rPr>
            <w:rStyle w:val="Hypertextovodkaz"/>
            <w:noProof/>
          </w:rPr>
          <w:t>Základní technické údaje</w:t>
        </w:r>
        <w:r w:rsidR="0099218E">
          <w:rPr>
            <w:noProof/>
            <w:webHidden/>
          </w:rPr>
          <w:tab/>
        </w:r>
        <w:r w:rsidR="0099218E">
          <w:rPr>
            <w:noProof/>
            <w:webHidden/>
          </w:rPr>
          <w:fldChar w:fldCharType="begin"/>
        </w:r>
        <w:r w:rsidR="0099218E">
          <w:rPr>
            <w:noProof/>
            <w:webHidden/>
          </w:rPr>
          <w:instrText xml:space="preserve"> PAGEREF _Toc26771904 \h </w:instrText>
        </w:r>
        <w:r w:rsidR="0099218E">
          <w:rPr>
            <w:noProof/>
            <w:webHidden/>
          </w:rPr>
        </w:r>
        <w:r w:rsidR="0099218E">
          <w:rPr>
            <w:noProof/>
            <w:webHidden/>
          </w:rPr>
          <w:fldChar w:fldCharType="separate"/>
        </w:r>
        <w:r>
          <w:rPr>
            <w:noProof/>
            <w:webHidden/>
          </w:rPr>
          <w:t>4</w:t>
        </w:r>
        <w:r w:rsidR="0099218E">
          <w:rPr>
            <w:noProof/>
            <w:webHidden/>
          </w:rPr>
          <w:fldChar w:fldCharType="end"/>
        </w:r>
      </w:hyperlink>
    </w:p>
    <w:p w14:paraId="2BDDE89B" w14:textId="7B764FF0" w:rsidR="0099218E" w:rsidRDefault="005349D7">
      <w:pPr>
        <w:pStyle w:val="Obsah2"/>
        <w:rPr>
          <w:rFonts w:asciiTheme="minorHAnsi" w:eastAsiaTheme="minorEastAsia" w:hAnsiTheme="minorHAnsi" w:cstheme="minorBidi"/>
          <w:bCs w:val="0"/>
          <w:sz w:val="22"/>
          <w:szCs w:val="22"/>
          <w:lang w:eastAsia="cs-CZ"/>
        </w:rPr>
      </w:pPr>
      <w:hyperlink w:anchor="_Toc26771905" w:history="1">
        <w:r w:rsidR="0099218E" w:rsidRPr="00015385">
          <w:rPr>
            <w:rStyle w:val="Hypertextovodkaz"/>
          </w:rPr>
          <w:t>4.1</w:t>
        </w:r>
        <w:r w:rsidR="0099218E">
          <w:rPr>
            <w:rFonts w:asciiTheme="minorHAnsi" w:eastAsiaTheme="minorEastAsia" w:hAnsiTheme="minorHAnsi" w:cstheme="minorBidi"/>
            <w:bCs w:val="0"/>
            <w:sz w:val="22"/>
            <w:szCs w:val="22"/>
            <w:lang w:eastAsia="cs-CZ"/>
          </w:rPr>
          <w:tab/>
        </w:r>
        <w:r w:rsidR="0099218E" w:rsidRPr="00015385">
          <w:rPr>
            <w:rStyle w:val="Hypertextovodkaz"/>
          </w:rPr>
          <w:t>Rozvodná soustava</w:t>
        </w:r>
        <w:r w:rsidR="0099218E">
          <w:rPr>
            <w:webHidden/>
          </w:rPr>
          <w:tab/>
        </w:r>
        <w:r w:rsidR="0099218E">
          <w:rPr>
            <w:webHidden/>
          </w:rPr>
          <w:fldChar w:fldCharType="begin"/>
        </w:r>
        <w:r w:rsidR="0099218E">
          <w:rPr>
            <w:webHidden/>
          </w:rPr>
          <w:instrText xml:space="preserve"> PAGEREF _Toc26771905 \h </w:instrText>
        </w:r>
        <w:r w:rsidR="0099218E">
          <w:rPr>
            <w:webHidden/>
          </w:rPr>
        </w:r>
        <w:r w:rsidR="0099218E">
          <w:rPr>
            <w:webHidden/>
          </w:rPr>
          <w:fldChar w:fldCharType="separate"/>
        </w:r>
        <w:r>
          <w:rPr>
            <w:webHidden/>
          </w:rPr>
          <w:t>4</w:t>
        </w:r>
        <w:r w:rsidR="0099218E">
          <w:rPr>
            <w:webHidden/>
          </w:rPr>
          <w:fldChar w:fldCharType="end"/>
        </w:r>
      </w:hyperlink>
    </w:p>
    <w:p w14:paraId="7B314C2F" w14:textId="78849E8E" w:rsidR="0099218E" w:rsidRDefault="005349D7">
      <w:pPr>
        <w:pStyle w:val="Obsah2"/>
        <w:rPr>
          <w:rFonts w:asciiTheme="minorHAnsi" w:eastAsiaTheme="minorEastAsia" w:hAnsiTheme="minorHAnsi" w:cstheme="minorBidi"/>
          <w:bCs w:val="0"/>
          <w:sz w:val="22"/>
          <w:szCs w:val="22"/>
          <w:lang w:eastAsia="cs-CZ"/>
        </w:rPr>
      </w:pPr>
      <w:hyperlink w:anchor="_Toc26771906" w:history="1">
        <w:r w:rsidR="0099218E" w:rsidRPr="00015385">
          <w:rPr>
            <w:rStyle w:val="Hypertextovodkaz"/>
          </w:rPr>
          <w:t>4.2</w:t>
        </w:r>
        <w:r w:rsidR="0099218E">
          <w:rPr>
            <w:rFonts w:asciiTheme="minorHAnsi" w:eastAsiaTheme="minorEastAsia" w:hAnsiTheme="minorHAnsi" w:cstheme="minorBidi"/>
            <w:bCs w:val="0"/>
            <w:sz w:val="22"/>
            <w:szCs w:val="22"/>
            <w:lang w:eastAsia="cs-CZ"/>
          </w:rPr>
          <w:tab/>
        </w:r>
        <w:r w:rsidR="0099218E" w:rsidRPr="00015385">
          <w:rPr>
            <w:rStyle w:val="Hypertextovodkaz"/>
          </w:rPr>
          <w:t>Vnější vlivy</w:t>
        </w:r>
        <w:r w:rsidR="0099218E">
          <w:rPr>
            <w:webHidden/>
          </w:rPr>
          <w:tab/>
        </w:r>
        <w:r w:rsidR="0099218E">
          <w:rPr>
            <w:webHidden/>
          </w:rPr>
          <w:fldChar w:fldCharType="begin"/>
        </w:r>
        <w:r w:rsidR="0099218E">
          <w:rPr>
            <w:webHidden/>
          </w:rPr>
          <w:instrText xml:space="preserve"> PAGEREF _Toc26771906 \h </w:instrText>
        </w:r>
        <w:r w:rsidR="0099218E">
          <w:rPr>
            <w:webHidden/>
          </w:rPr>
        </w:r>
        <w:r w:rsidR="0099218E">
          <w:rPr>
            <w:webHidden/>
          </w:rPr>
          <w:fldChar w:fldCharType="separate"/>
        </w:r>
        <w:r>
          <w:rPr>
            <w:webHidden/>
          </w:rPr>
          <w:t>4</w:t>
        </w:r>
        <w:r w:rsidR="0099218E">
          <w:rPr>
            <w:webHidden/>
          </w:rPr>
          <w:fldChar w:fldCharType="end"/>
        </w:r>
      </w:hyperlink>
    </w:p>
    <w:p w14:paraId="2D44AB06" w14:textId="791702E1" w:rsidR="0099218E" w:rsidRDefault="005349D7">
      <w:pPr>
        <w:pStyle w:val="Obsah2"/>
        <w:rPr>
          <w:rFonts w:asciiTheme="minorHAnsi" w:eastAsiaTheme="minorEastAsia" w:hAnsiTheme="minorHAnsi" w:cstheme="minorBidi"/>
          <w:bCs w:val="0"/>
          <w:sz w:val="22"/>
          <w:szCs w:val="22"/>
          <w:lang w:eastAsia="cs-CZ"/>
        </w:rPr>
      </w:pPr>
      <w:hyperlink w:anchor="_Toc26771907" w:history="1">
        <w:r w:rsidR="0099218E" w:rsidRPr="00015385">
          <w:rPr>
            <w:rStyle w:val="Hypertextovodkaz"/>
          </w:rPr>
          <w:t>4.3</w:t>
        </w:r>
        <w:r w:rsidR="0099218E">
          <w:rPr>
            <w:rFonts w:asciiTheme="minorHAnsi" w:eastAsiaTheme="minorEastAsia" w:hAnsiTheme="minorHAnsi" w:cstheme="minorBidi"/>
            <w:bCs w:val="0"/>
            <w:sz w:val="22"/>
            <w:szCs w:val="22"/>
            <w:lang w:eastAsia="cs-CZ"/>
          </w:rPr>
          <w:tab/>
        </w:r>
        <w:r w:rsidR="0099218E" w:rsidRPr="00015385">
          <w:rPr>
            <w:rStyle w:val="Hypertextovodkaz"/>
          </w:rPr>
          <w:t>Bilance odběru elektrické energie a měření elektrické energie</w:t>
        </w:r>
        <w:r w:rsidR="0099218E">
          <w:rPr>
            <w:webHidden/>
          </w:rPr>
          <w:tab/>
        </w:r>
        <w:r w:rsidR="0099218E">
          <w:rPr>
            <w:webHidden/>
          </w:rPr>
          <w:fldChar w:fldCharType="begin"/>
        </w:r>
        <w:r w:rsidR="0099218E">
          <w:rPr>
            <w:webHidden/>
          </w:rPr>
          <w:instrText xml:space="preserve"> PAGEREF _Toc26771907 \h </w:instrText>
        </w:r>
        <w:r w:rsidR="0099218E">
          <w:rPr>
            <w:webHidden/>
          </w:rPr>
        </w:r>
        <w:r w:rsidR="0099218E">
          <w:rPr>
            <w:webHidden/>
          </w:rPr>
          <w:fldChar w:fldCharType="separate"/>
        </w:r>
        <w:r>
          <w:rPr>
            <w:webHidden/>
          </w:rPr>
          <w:t>4</w:t>
        </w:r>
        <w:r w:rsidR="0099218E">
          <w:rPr>
            <w:webHidden/>
          </w:rPr>
          <w:fldChar w:fldCharType="end"/>
        </w:r>
      </w:hyperlink>
    </w:p>
    <w:p w14:paraId="3E61DA13" w14:textId="7984895C" w:rsidR="0099218E" w:rsidRDefault="005349D7">
      <w:pPr>
        <w:pStyle w:val="Obsah1"/>
        <w:rPr>
          <w:rFonts w:asciiTheme="minorHAnsi" w:eastAsiaTheme="minorEastAsia" w:hAnsiTheme="minorHAnsi" w:cstheme="minorBidi"/>
          <w:b w:val="0"/>
          <w:bCs w:val="0"/>
          <w:noProof/>
          <w:sz w:val="22"/>
          <w:szCs w:val="22"/>
          <w:lang w:eastAsia="cs-CZ"/>
        </w:rPr>
      </w:pPr>
      <w:hyperlink w:anchor="_Toc26771908" w:history="1">
        <w:r w:rsidR="0099218E" w:rsidRPr="00015385">
          <w:rPr>
            <w:rStyle w:val="Hypertextovodkaz"/>
            <w:rFonts w:cs="Times New Roman"/>
            <w:noProof/>
          </w:rPr>
          <w:t>5</w:t>
        </w:r>
        <w:r w:rsidR="0099218E">
          <w:rPr>
            <w:rFonts w:asciiTheme="minorHAnsi" w:eastAsiaTheme="minorEastAsia" w:hAnsiTheme="minorHAnsi" w:cstheme="minorBidi"/>
            <w:b w:val="0"/>
            <w:bCs w:val="0"/>
            <w:noProof/>
            <w:sz w:val="22"/>
            <w:szCs w:val="22"/>
            <w:lang w:eastAsia="cs-CZ"/>
          </w:rPr>
          <w:tab/>
        </w:r>
        <w:r w:rsidR="0099218E" w:rsidRPr="00015385">
          <w:rPr>
            <w:rStyle w:val="Hypertextovodkaz"/>
            <w:noProof/>
          </w:rPr>
          <w:t>Umělé osvětlení</w:t>
        </w:r>
        <w:r w:rsidR="0099218E">
          <w:rPr>
            <w:noProof/>
            <w:webHidden/>
          </w:rPr>
          <w:tab/>
        </w:r>
        <w:r w:rsidR="0099218E">
          <w:rPr>
            <w:noProof/>
            <w:webHidden/>
          </w:rPr>
          <w:fldChar w:fldCharType="begin"/>
        </w:r>
        <w:r w:rsidR="0099218E">
          <w:rPr>
            <w:noProof/>
            <w:webHidden/>
          </w:rPr>
          <w:instrText xml:space="preserve"> PAGEREF _Toc26771908 \h </w:instrText>
        </w:r>
        <w:r w:rsidR="0099218E">
          <w:rPr>
            <w:noProof/>
            <w:webHidden/>
          </w:rPr>
        </w:r>
        <w:r w:rsidR="0099218E">
          <w:rPr>
            <w:noProof/>
            <w:webHidden/>
          </w:rPr>
          <w:fldChar w:fldCharType="separate"/>
        </w:r>
        <w:r>
          <w:rPr>
            <w:noProof/>
            <w:webHidden/>
          </w:rPr>
          <w:t>4</w:t>
        </w:r>
        <w:r w:rsidR="0099218E">
          <w:rPr>
            <w:noProof/>
            <w:webHidden/>
          </w:rPr>
          <w:fldChar w:fldCharType="end"/>
        </w:r>
      </w:hyperlink>
    </w:p>
    <w:p w14:paraId="4AF7DD06" w14:textId="6463B5F9" w:rsidR="0099218E" w:rsidRDefault="005349D7">
      <w:pPr>
        <w:pStyle w:val="Obsah2"/>
        <w:rPr>
          <w:rFonts w:asciiTheme="minorHAnsi" w:eastAsiaTheme="minorEastAsia" w:hAnsiTheme="minorHAnsi" w:cstheme="minorBidi"/>
          <w:bCs w:val="0"/>
          <w:sz w:val="22"/>
          <w:szCs w:val="22"/>
          <w:lang w:eastAsia="cs-CZ"/>
        </w:rPr>
      </w:pPr>
      <w:hyperlink w:anchor="_Toc26771909" w:history="1">
        <w:r w:rsidR="0099218E" w:rsidRPr="00015385">
          <w:rPr>
            <w:rStyle w:val="Hypertextovodkaz"/>
          </w:rPr>
          <w:t>5.1</w:t>
        </w:r>
        <w:r w:rsidR="0099218E">
          <w:rPr>
            <w:rFonts w:asciiTheme="minorHAnsi" w:eastAsiaTheme="minorEastAsia" w:hAnsiTheme="minorHAnsi" w:cstheme="minorBidi"/>
            <w:bCs w:val="0"/>
            <w:sz w:val="22"/>
            <w:szCs w:val="22"/>
            <w:lang w:eastAsia="cs-CZ"/>
          </w:rPr>
          <w:tab/>
        </w:r>
        <w:r w:rsidR="0099218E" w:rsidRPr="00015385">
          <w:rPr>
            <w:rStyle w:val="Hypertextovodkaz"/>
          </w:rPr>
          <w:t>Normy a hlavní související předpisy, technické řešení návrhu umělého osvětlení</w:t>
        </w:r>
        <w:r w:rsidR="0099218E">
          <w:rPr>
            <w:webHidden/>
          </w:rPr>
          <w:tab/>
        </w:r>
        <w:r w:rsidR="0099218E">
          <w:rPr>
            <w:webHidden/>
          </w:rPr>
          <w:fldChar w:fldCharType="begin"/>
        </w:r>
        <w:r w:rsidR="0099218E">
          <w:rPr>
            <w:webHidden/>
          </w:rPr>
          <w:instrText xml:space="preserve"> PAGEREF _Toc26771909 \h </w:instrText>
        </w:r>
        <w:r w:rsidR="0099218E">
          <w:rPr>
            <w:webHidden/>
          </w:rPr>
        </w:r>
        <w:r w:rsidR="0099218E">
          <w:rPr>
            <w:webHidden/>
          </w:rPr>
          <w:fldChar w:fldCharType="separate"/>
        </w:r>
        <w:r>
          <w:rPr>
            <w:webHidden/>
          </w:rPr>
          <w:t>4</w:t>
        </w:r>
        <w:r w:rsidR="0099218E">
          <w:rPr>
            <w:webHidden/>
          </w:rPr>
          <w:fldChar w:fldCharType="end"/>
        </w:r>
      </w:hyperlink>
    </w:p>
    <w:p w14:paraId="21E70C05" w14:textId="6912CD4C" w:rsidR="0099218E" w:rsidRDefault="005349D7">
      <w:pPr>
        <w:pStyle w:val="Obsah2"/>
        <w:rPr>
          <w:rFonts w:asciiTheme="minorHAnsi" w:eastAsiaTheme="minorEastAsia" w:hAnsiTheme="minorHAnsi" w:cstheme="minorBidi"/>
          <w:bCs w:val="0"/>
          <w:sz w:val="22"/>
          <w:szCs w:val="22"/>
          <w:lang w:eastAsia="cs-CZ"/>
        </w:rPr>
      </w:pPr>
      <w:hyperlink w:anchor="_Toc26771910" w:history="1">
        <w:r w:rsidR="0099218E" w:rsidRPr="00015385">
          <w:rPr>
            <w:rStyle w:val="Hypertextovodkaz"/>
          </w:rPr>
          <w:t>5.2</w:t>
        </w:r>
        <w:r w:rsidR="0099218E">
          <w:rPr>
            <w:rFonts w:asciiTheme="minorHAnsi" w:eastAsiaTheme="minorEastAsia" w:hAnsiTheme="minorHAnsi" w:cstheme="minorBidi"/>
            <w:bCs w:val="0"/>
            <w:sz w:val="22"/>
            <w:szCs w:val="22"/>
            <w:lang w:eastAsia="cs-CZ"/>
          </w:rPr>
          <w:tab/>
        </w:r>
        <w:r w:rsidR="0099218E" w:rsidRPr="00015385">
          <w:rPr>
            <w:rStyle w:val="Hypertextovodkaz"/>
          </w:rPr>
          <w:t>Ovládání a řízení osvětlení</w:t>
        </w:r>
        <w:r w:rsidR="0099218E">
          <w:rPr>
            <w:webHidden/>
          </w:rPr>
          <w:tab/>
        </w:r>
        <w:r w:rsidR="0099218E">
          <w:rPr>
            <w:webHidden/>
          </w:rPr>
          <w:fldChar w:fldCharType="begin"/>
        </w:r>
        <w:r w:rsidR="0099218E">
          <w:rPr>
            <w:webHidden/>
          </w:rPr>
          <w:instrText xml:space="preserve"> PAGEREF _Toc26771910 \h </w:instrText>
        </w:r>
        <w:r w:rsidR="0099218E">
          <w:rPr>
            <w:webHidden/>
          </w:rPr>
        </w:r>
        <w:r w:rsidR="0099218E">
          <w:rPr>
            <w:webHidden/>
          </w:rPr>
          <w:fldChar w:fldCharType="separate"/>
        </w:r>
        <w:r>
          <w:rPr>
            <w:webHidden/>
          </w:rPr>
          <w:t>8</w:t>
        </w:r>
        <w:r w:rsidR="0099218E">
          <w:rPr>
            <w:webHidden/>
          </w:rPr>
          <w:fldChar w:fldCharType="end"/>
        </w:r>
      </w:hyperlink>
    </w:p>
    <w:p w14:paraId="37C4D151" w14:textId="612A1F08" w:rsidR="0099218E" w:rsidRDefault="005349D7">
      <w:pPr>
        <w:pStyle w:val="Obsah1"/>
        <w:rPr>
          <w:rFonts w:asciiTheme="minorHAnsi" w:eastAsiaTheme="minorEastAsia" w:hAnsiTheme="minorHAnsi" w:cstheme="minorBidi"/>
          <w:b w:val="0"/>
          <w:bCs w:val="0"/>
          <w:noProof/>
          <w:sz w:val="22"/>
          <w:szCs w:val="22"/>
          <w:lang w:eastAsia="cs-CZ"/>
        </w:rPr>
      </w:pPr>
      <w:hyperlink w:anchor="_Toc26771911" w:history="1">
        <w:r w:rsidR="0099218E" w:rsidRPr="00015385">
          <w:rPr>
            <w:rStyle w:val="Hypertextovodkaz"/>
            <w:rFonts w:cs="Times New Roman"/>
            <w:noProof/>
          </w:rPr>
          <w:t>6</w:t>
        </w:r>
        <w:r w:rsidR="0099218E">
          <w:rPr>
            <w:rFonts w:asciiTheme="minorHAnsi" w:eastAsiaTheme="minorEastAsia" w:hAnsiTheme="minorHAnsi" w:cstheme="minorBidi"/>
            <w:b w:val="0"/>
            <w:bCs w:val="0"/>
            <w:noProof/>
            <w:sz w:val="22"/>
            <w:szCs w:val="22"/>
            <w:lang w:eastAsia="cs-CZ"/>
          </w:rPr>
          <w:tab/>
        </w:r>
        <w:r w:rsidR="0099218E" w:rsidRPr="00015385">
          <w:rPr>
            <w:rStyle w:val="Hypertextovodkaz"/>
            <w:noProof/>
          </w:rPr>
          <w:t>Kabelové trasy</w:t>
        </w:r>
        <w:r w:rsidR="0099218E">
          <w:rPr>
            <w:noProof/>
            <w:webHidden/>
          </w:rPr>
          <w:tab/>
        </w:r>
        <w:r w:rsidR="0099218E">
          <w:rPr>
            <w:noProof/>
            <w:webHidden/>
          </w:rPr>
          <w:fldChar w:fldCharType="begin"/>
        </w:r>
        <w:r w:rsidR="0099218E">
          <w:rPr>
            <w:noProof/>
            <w:webHidden/>
          </w:rPr>
          <w:instrText xml:space="preserve"> PAGEREF _Toc26771911 \h </w:instrText>
        </w:r>
        <w:r w:rsidR="0099218E">
          <w:rPr>
            <w:noProof/>
            <w:webHidden/>
          </w:rPr>
        </w:r>
        <w:r w:rsidR="0099218E">
          <w:rPr>
            <w:noProof/>
            <w:webHidden/>
          </w:rPr>
          <w:fldChar w:fldCharType="separate"/>
        </w:r>
        <w:r>
          <w:rPr>
            <w:noProof/>
            <w:webHidden/>
          </w:rPr>
          <w:t>8</w:t>
        </w:r>
        <w:r w:rsidR="0099218E">
          <w:rPr>
            <w:noProof/>
            <w:webHidden/>
          </w:rPr>
          <w:fldChar w:fldCharType="end"/>
        </w:r>
      </w:hyperlink>
    </w:p>
    <w:p w14:paraId="149EDE6E" w14:textId="0CE3B751" w:rsidR="0099218E" w:rsidRDefault="005349D7">
      <w:pPr>
        <w:pStyle w:val="Obsah2"/>
        <w:rPr>
          <w:rFonts w:asciiTheme="minorHAnsi" w:eastAsiaTheme="minorEastAsia" w:hAnsiTheme="minorHAnsi" w:cstheme="minorBidi"/>
          <w:bCs w:val="0"/>
          <w:sz w:val="22"/>
          <w:szCs w:val="22"/>
          <w:lang w:eastAsia="cs-CZ"/>
        </w:rPr>
      </w:pPr>
      <w:hyperlink w:anchor="_Toc26771912" w:history="1">
        <w:r w:rsidR="0099218E" w:rsidRPr="00015385">
          <w:rPr>
            <w:rStyle w:val="Hypertextovodkaz"/>
          </w:rPr>
          <w:t>6.1</w:t>
        </w:r>
        <w:r w:rsidR="0099218E">
          <w:rPr>
            <w:rFonts w:asciiTheme="minorHAnsi" w:eastAsiaTheme="minorEastAsia" w:hAnsiTheme="minorHAnsi" w:cstheme="minorBidi"/>
            <w:bCs w:val="0"/>
            <w:sz w:val="22"/>
            <w:szCs w:val="22"/>
            <w:lang w:eastAsia="cs-CZ"/>
          </w:rPr>
          <w:tab/>
        </w:r>
        <w:r w:rsidR="0099218E" w:rsidRPr="00015385">
          <w:rPr>
            <w:rStyle w:val="Hypertextovodkaz"/>
          </w:rPr>
          <w:t>Doplnění a úpravy stávajícího rozváděče osvětlení RSX1</w:t>
        </w:r>
        <w:r w:rsidR="0099218E">
          <w:rPr>
            <w:webHidden/>
          </w:rPr>
          <w:tab/>
        </w:r>
        <w:r w:rsidR="0099218E">
          <w:rPr>
            <w:webHidden/>
          </w:rPr>
          <w:fldChar w:fldCharType="begin"/>
        </w:r>
        <w:r w:rsidR="0099218E">
          <w:rPr>
            <w:webHidden/>
          </w:rPr>
          <w:instrText xml:space="preserve"> PAGEREF _Toc26771912 \h </w:instrText>
        </w:r>
        <w:r w:rsidR="0099218E">
          <w:rPr>
            <w:webHidden/>
          </w:rPr>
        </w:r>
        <w:r w:rsidR="0099218E">
          <w:rPr>
            <w:webHidden/>
          </w:rPr>
          <w:fldChar w:fldCharType="separate"/>
        </w:r>
        <w:r>
          <w:rPr>
            <w:webHidden/>
          </w:rPr>
          <w:t>9</w:t>
        </w:r>
        <w:r w:rsidR="0099218E">
          <w:rPr>
            <w:webHidden/>
          </w:rPr>
          <w:fldChar w:fldCharType="end"/>
        </w:r>
      </w:hyperlink>
    </w:p>
    <w:p w14:paraId="2DC7D8CF" w14:textId="67D6687C" w:rsidR="0099218E" w:rsidRDefault="005349D7">
      <w:pPr>
        <w:pStyle w:val="Obsah1"/>
        <w:rPr>
          <w:rFonts w:asciiTheme="minorHAnsi" w:eastAsiaTheme="minorEastAsia" w:hAnsiTheme="minorHAnsi" w:cstheme="minorBidi"/>
          <w:b w:val="0"/>
          <w:bCs w:val="0"/>
          <w:noProof/>
          <w:sz w:val="22"/>
          <w:szCs w:val="22"/>
          <w:lang w:eastAsia="cs-CZ"/>
        </w:rPr>
      </w:pPr>
      <w:hyperlink w:anchor="_Toc26771913" w:history="1">
        <w:r w:rsidR="0099218E" w:rsidRPr="00015385">
          <w:rPr>
            <w:rStyle w:val="Hypertextovodkaz"/>
            <w:rFonts w:cs="Times New Roman"/>
            <w:noProof/>
          </w:rPr>
          <w:t>7</w:t>
        </w:r>
        <w:r w:rsidR="0099218E">
          <w:rPr>
            <w:rFonts w:asciiTheme="minorHAnsi" w:eastAsiaTheme="minorEastAsia" w:hAnsiTheme="minorHAnsi" w:cstheme="minorBidi"/>
            <w:b w:val="0"/>
            <w:bCs w:val="0"/>
            <w:noProof/>
            <w:sz w:val="22"/>
            <w:szCs w:val="22"/>
            <w:lang w:eastAsia="cs-CZ"/>
          </w:rPr>
          <w:tab/>
        </w:r>
        <w:r w:rsidR="0099218E" w:rsidRPr="00015385">
          <w:rPr>
            <w:rStyle w:val="Hypertextovodkaz"/>
            <w:noProof/>
          </w:rPr>
          <w:t>Nouzové a bezpečnostní osvětlení</w:t>
        </w:r>
        <w:r w:rsidR="0099218E">
          <w:rPr>
            <w:noProof/>
            <w:webHidden/>
          </w:rPr>
          <w:tab/>
        </w:r>
        <w:r w:rsidR="0099218E">
          <w:rPr>
            <w:noProof/>
            <w:webHidden/>
          </w:rPr>
          <w:fldChar w:fldCharType="begin"/>
        </w:r>
        <w:r w:rsidR="0099218E">
          <w:rPr>
            <w:noProof/>
            <w:webHidden/>
          </w:rPr>
          <w:instrText xml:space="preserve"> PAGEREF _Toc26771913 \h </w:instrText>
        </w:r>
        <w:r w:rsidR="0099218E">
          <w:rPr>
            <w:noProof/>
            <w:webHidden/>
          </w:rPr>
        </w:r>
        <w:r w:rsidR="0099218E">
          <w:rPr>
            <w:noProof/>
            <w:webHidden/>
          </w:rPr>
          <w:fldChar w:fldCharType="separate"/>
        </w:r>
        <w:r>
          <w:rPr>
            <w:noProof/>
            <w:webHidden/>
          </w:rPr>
          <w:t>9</w:t>
        </w:r>
        <w:r w:rsidR="0099218E">
          <w:rPr>
            <w:noProof/>
            <w:webHidden/>
          </w:rPr>
          <w:fldChar w:fldCharType="end"/>
        </w:r>
      </w:hyperlink>
    </w:p>
    <w:p w14:paraId="66D5558A" w14:textId="0F0F7A76" w:rsidR="0099218E" w:rsidRDefault="005349D7">
      <w:pPr>
        <w:pStyle w:val="Obsah2"/>
        <w:rPr>
          <w:rFonts w:asciiTheme="minorHAnsi" w:eastAsiaTheme="minorEastAsia" w:hAnsiTheme="minorHAnsi" w:cstheme="minorBidi"/>
          <w:bCs w:val="0"/>
          <w:sz w:val="22"/>
          <w:szCs w:val="22"/>
          <w:lang w:eastAsia="cs-CZ"/>
        </w:rPr>
      </w:pPr>
      <w:hyperlink w:anchor="_Toc26771914" w:history="1">
        <w:r w:rsidR="0099218E" w:rsidRPr="00015385">
          <w:rPr>
            <w:rStyle w:val="Hypertextovodkaz"/>
          </w:rPr>
          <w:t>7.1</w:t>
        </w:r>
        <w:r w:rsidR="0099218E">
          <w:rPr>
            <w:rFonts w:asciiTheme="minorHAnsi" w:eastAsiaTheme="minorEastAsia" w:hAnsiTheme="minorHAnsi" w:cstheme="minorBidi"/>
            <w:bCs w:val="0"/>
            <w:sz w:val="22"/>
            <w:szCs w:val="22"/>
            <w:lang w:eastAsia="cs-CZ"/>
          </w:rPr>
          <w:tab/>
        </w:r>
        <w:r w:rsidR="0099218E" w:rsidRPr="00015385">
          <w:rPr>
            <w:rStyle w:val="Hypertextovodkaz"/>
          </w:rPr>
          <w:t>Úvod</w:t>
        </w:r>
        <w:r w:rsidR="0099218E">
          <w:rPr>
            <w:webHidden/>
          </w:rPr>
          <w:tab/>
        </w:r>
        <w:r w:rsidR="0099218E">
          <w:rPr>
            <w:webHidden/>
          </w:rPr>
          <w:fldChar w:fldCharType="begin"/>
        </w:r>
        <w:r w:rsidR="0099218E">
          <w:rPr>
            <w:webHidden/>
          </w:rPr>
          <w:instrText xml:space="preserve"> PAGEREF _Toc26771914 \h </w:instrText>
        </w:r>
        <w:r w:rsidR="0099218E">
          <w:rPr>
            <w:webHidden/>
          </w:rPr>
        </w:r>
        <w:r w:rsidR="0099218E">
          <w:rPr>
            <w:webHidden/>
          </w:rPr>
          <w:fldChar w:fldCharType="separate"/>
        </w:r>
        <w:r>
          <w:rPr>
            <w:webHidden/>
          </w:rPr>
          <w:t>9</w:t>
        </w:r>
        <w:r w:rsidR="0099218E">
          <w:rPr>
            <w:webHidden/>
          </w:rPr>
          <w:fldChar w:fldCharType="end"/>
        </w:r>
      </w:hyperlink>
    </w:p>
    <w:p w14:paraId="213F6EE5" w14:textId="3E5B6078" w:rsidR="0099218E" w:rsidRDefault="005349D7">
      <w:pPr>
        <w:pStyle w:val="Obsah1"/>
        <w:rPr>
          <w:rFonts w:asciiTheme="minorHAnsi" w:eastAsiaTheme="minorEastAsia" w:hAnsiTheme="minorHAnsi" w:cstheme="minorBidi"/>
          <w:b w:val="0"/>
          <w:bCs w:val="0"/>
          <w:noProof/>
          <w:sz w:val="22"/>
          <w:szCs w:val="22"/>
          <w:lang w:eastAsia="cs-CZ"/>
        </w:rPr>
      </w:pPr>
      <w:hyperlink w:anchor="_Toc26771915" w:history="1">
        <w:r w:rsidR="0099218E" w:rsidRPr="00015385">
          <w:rPr>
            <w:rStyle w:val="Hypertextovodkaz"/>
            <w:rFonts w:cs="Times New Roman"/>
            <w:noProof/>
          </w:rPr>
          <w:t>8</w:t>
        </w:r>
        <w:r w:rsidR="0099218E">
          <w:rPr>
            <w:rFonts w:asciiTheme="minorHAnsi" w:eastAsiaTheme="minorEastAsia" w:hAnsiTheme="minorHAnsi" w:cstheme="minorBidi"/>
            <w:b w:val="0"/>
            <w:bCs w:val="0"/>
            <w:noProof/>
            <w:sz w:val="22"/>
            <w:szCs w:val="22"/>
            <w:lang w:eastAsia="cs-CZ"/>
          </w:rPr>
          <w:tab/>
        </w:r>
        <w:r w:rsidR="0099218E" w:rsidRPr="00015385">
          <w:rPr>
            <w:rStyle w:val="Hypertextovodkaz"/>
            <w:noProof/>
          </w:rPr>
          <w:t>Trasy kabelového rozvodu</w:t>
        </w:r>
        <w:r w:rsidR="0099218E">
          <w:rPr>
            <w:noProof/>
            <w:webHidden/>
          </w:rPr>
          <w:tab/>
        </w:r>
        <w:r w:rsidR="0099218E">
          <w:rPr>
            <w:noProof/>
            <w:webHidden/>
          </w:rPr>
          <w:fldChar w:fldCharType="begin"/>
        </w:r>
        <w:r w:rsidR="0099218E">
          <w:rPr>
            <w:noProof/>
            <w:webHidden/>
          </w:rPr>
          <w:instrText xml:space="preserve"> PAGEREF _Toc26771915 \h </w:instrText>
        </w:r>
        <w:r w:rsidR="0099218E">
          <w:rPr>
            <w:noProof/>
            <w:webHidden/>
          </w:rPr>
        </w:r>
        <w:r w:rsidR="0099218E">
          <w:rPr>
            <w:noProof/>
            <w:webHidden/>
          </w:rPr>
          <w:fldChar w:fldCharType="separate"/>
        </w:r>
        <w:r>
          <w:rPr>
            <w:noProof/>
            <w:webHidden/>
          </w:rPr>
          <w:t>9</w:t>
        </w:r>
        <w:r w:rsidR="0099218E">
          <w:rPr>
            <w:noProof/>
            <w:webHidden/>
          </w:rPr>
          <w:fldChar w:fldCharType="end"/>
        </w:r>
      </w:hyperlink>
    </w:p>
    <w:p w14:paraId="198DFFEA" w14:textId="12C7096F" w:rsidR="0099218E" w:rsidRDefault="005349D7">
      <w:pPr>
        <w:pStyle w:val="Obsah1"/>
        <w:rPr>
          <w:rFonts w:asciiTheme="minorHAnsi" w:eastAsiaTheme="minorEastAsia" w:hAnsiTheme="minorHAnsi" w:cstheme="minorBidi"/>
          <w:b w:val="0"/>
          <w:bCs w:val="0"/>
          <w:noProof/>
          <w:sz w:val="22"/>
          <w:szCs w:val="22"/>
          <w:lang w:eastAsia="cs-CZ"/>
        </w:rPr>
      </w:pPr>
      <w:hyperlink w:anchor="_Toc26771916" w:history="1">
        <w:r w:rsidR="0099218E" w:rsidRPr="00015385">
          <w:rPr>
            <w:rStyle w:val="Hypertextovodkaz"/>
            <w:rFonts w:cs="Times New Roman"/>
            <w:noProof/>
          </w:rPr>
          <w:t>9</w:t>
        </w:r>
        <w:r w:rsidR="0099218E">
          <w:rPr>
            <w:rFonts w:asciiTheme="minorHAnsi" w:eastAsiaTheme="minorEastAsia" w:hAnsiTheme="minorHAnsi" w:cstheme="minorBidi"/>
            <w:b w:val="0"/>
            <w:bCs w:val="0"/>
            <w:noProof/>
            <w:sz w:val="22"/>
            <w:szCs w:val="22"/>
            <w:lang w:eastAsia="cs-CZ"/>
          </w:rPr>
          <w:tab/>
        </w:r>
        <w:r w:rsidR="0099218E" w:rsidRPr="00015385">
          <w:rPr>
            <w:rStyle w:val="Hypertextovodkaz"/>
            <w:noProof/>
          </w:rPr>
          <w:t>Demontáže</w:t>
        </w:r>
        <w:r w:rsidR="0099218E">
          <w:rPr>
            <w:noProof/>
            <w:webHidden/>
          </w:rPr>
          <w:tab/>
        </w:r>
        <w:r w:rsidR="0099218E">
          <w:rPr>
            <w:noProof/>
            <w:webHidden/>
          </w:rPr>
          <w:fldChar w:fldCharType="begin"/>
        </w:r>
        <w:r w:rsidR="0099218E">
          <w:rPr>
            <w:noProof/>
            <w:webHidden/>
          </w:rPr>
          <w:instrText xml:space="preserve"> PAGEREF _Toc26771916 \h </w:instrText>
        </w:r>
        <w:r w:rsidR="0099218E">
          <w:rPr>
            <w:noProof/>
            <w:webHidden/>
          </w:rPr>
        </w:r>
        <w:r w:rsidR="0099218E">
          <w:rPr>
            <w:noProof/>
            <w:webHidden/>
          </w:rPr>
          <w:fldChar w:fldCharType="separate"/>
        </w:r>
        <w:r>
          <w:rPr>
            <w:noProof/>
            <w:webHidden/>
          </w:rPr>
          <w:t>10</w:t>
        </w:r>
        <w:r w:rsidR="0099218E">
          <w:rPr>
            <w:noProof/>
            <w:webHidden/>
          </w:rPr>
          <w:fldChar w:fldCharType="end"/>
        </w:r>
      </w:hyperlink>
    </w:p>
    <w:p w14:paraId="779F7ABD" w14:textId="3622FEBB" w:rsidR="0099218E" w:rsidRDefault="005349D7">
      <w:pPr>
        <w:pStyle w:val="Obsah1"/>
        <w:rPr>
          <w:rFonts w:asciiTheme="minorHAnsi" w:eastAsiaTheme="minorEastAsia" w:hAnsiTheme="minorHAnsi" w:cstheme="minorBidi"/>
          <w:b w:val="0"/>
          <w:bCs w:val="0"/>
          <w:noProof/>
          <w:sz w:val="22"/>
          <w:szCs w:val="22"/>
          <w:lang w:eastAsia="cs-CZ"/>
        </w:rPr>
      </w:pPr>
      <w:hyperlink w:anchor="_Toc26771917" w:history="1">
        <w:r w:rsidR="0099218E" w:rsidRPr="00015385">
          <w:rPr>
            <w:rStyle w:val="Hypertextovodkaz"/>
            <w:rFonts w:cs="Times New Roman"/>
            <w:noProof/>
          </w:rPr>
          <w:t>10</w:t>
        </w:r>
        <w:r w:rsidR="0099218E">
          <w:rPr>
            <w:rFonts w:asciiTheme="minorHAnsi" w:eastAsiaTheme="minorEastAsia" w:hAnsiTheme="minorHAnsi" w:cstheme="minorBidi"/>
            <w:b w:val="0"/>
            <w:bCs w:val="0"/>
            <w:noProof/>
            <w:sz w:val="22"/>
            <w:szCs w:val="22"/>
            <w:lang w:eastAsia="cs-CZ"/>
          </w:rPr>
          <w:tab/>
        </w:r>
        <w:r w:rsidR="0099218E" w:rsidRPr="00015385">
          <w:rPr>
            <w:rStyle w:val="Hypertextovodkaz"/>
            <w:noProof/>
          </w:rPr>
          <w:t>Bezpečnost a ochrana zdraví</w:t>
        </w:r>
        <w:r w:rsidR="0099218E">
          <w:rPr>
            <w:noProof/>
            <w:webHidden/>
          </w:rPr>
          <w:tab/>
        </w:r>
        <w:r w:rsidR="0099218E">
          <w:rPr>
            <w:noProof/>
            <w:webHidden/>
          </w:rPr>
          <w:fldChar w:fldCharType="begin"/>
        </w:r>
        <w:r w:rsidR="0099218E">
          <w:rPr>
            <w:noProof/>
            <w:webHidden/>
          </w:rPr>
          <w:instrText xml:space="preserve"> PAGEREF _Toc26771917 \h </w:instrText>
        </w:r>
        <w:r w:rsidR="0099218E">
          <w:rPr>
            <w:noProof/>
            <w:webHidden/>
          </w:rPr>
        </w:r>
        <w:r w:rsidR="0099218E">
          <w:rPr>
            <w:noProof/>
            <w:webHidden/>
          </w:rPr>
          <w:fldChar w:fldCharType="separate"/>
        </w:r>
        <w:r>
          <w:rPr>
            <w:noProof/>
            <w:webHidden/>
          </w:rPr>
          <w:t>10</w:t>
        </w:r>
        <w:r w:rsidR="0099218E">
          <w:rPr>
            <w:noProof/>
            <w:webHidden/>
          </w:rPr>
          <w:fldChar w:fldCharType="end"/>
        </w:r>
      </w:hyperlink>
    </w:p>
    <w:p w14:paraId="3C34907C" w14:textId="63EBE54A" w:rsidR="0099218E" w:rsidRDefault="005349D7">
      <w:pPr>
        <w:pStyle w:val="Obsah2"/>
        <w:rPr>
          <w:rFonts w:asciiTheme="minorHAnsi" w:eastAsiaTheme="minorEastAsia" w:hAnsiTheme="minorHAnsi" w:cstheme="minorBidi"/>
          <w:bCs w:val="0"/>
          <w:sz w:val="22"/>
          <w:szCs w:val="22"/>
          <w:lang w:eastAsia="cs-CZ"/>
        </w:rPr>
      </w:pPr>
      <w:hyperlink w:anchor="_Toc26771918" w:history="1">
        <w:r w:rsidR="0099218E" w:rsidRPr="00015385">
          <w:rPr>
            <w:rStyle w:val="Hypertextovodkaz"/>
          </w:rPr>
          <w:t>10.1</w:t>
        </w:r>
        <w:r w:rsidR="0099218E">
          <w:rPr>
            <w:rFonts w:asciiTheme="minorHAnsi" w:eastAsiaTheme="minorEastAsia" w:hAnsiTheme="minorHAnsi" w:cstheme="minorBidi"/>
            <w:bCs w:val="0"/>
            <w:sz w:val="22"/>
            <w:szCs w:val="22"/>
            <w:lang w:eastAsia="cs-CZ"/>
          </w:rPr>
          <w:tab/>
        </w:r>
        <w:r w:rsidR="0099218E" w:rsidRPr="00015385">
          <w:rPr>
            <w:rStyle w:val="Hypertextovodkaz"/>
          </w:rPr>
          <w:t>Zajištění bezpečnosti práce při výstavbě</w:t>
        </w:r>
        <w:r w:rsidR="0099218E">
          <w:rPr>
            <w:webHidden/>
          </w:rPr>
          <w:tab/>
        </w:r>
        <w:r w:rsidR="0099218E">
          <w:rPr>
            <w:webHidden/>
          </w:rPr>
          <w:fldChar w:fldCharType="begin"/>
        </w:r>
        <w:r w:rsidR="0099218E">
          <w:rPr>
            <w:webHidden/>
          </w:rPr>
          <w:instrText xml:space="preserve"> PAGEREF _Toc26771918 \h </w:instrText>
        </w:r>
        <w:r w:rsidR="0099218E">
          <w:rPr>
            <w:webHidden/>
          </w:rPr>
        </w:r>
        <w:r w:rsidR="0099218E">
          <w:rPr>
            <w:webHidden/>
          </w:rPr>
          <w:fldChar w:fldCharType="separate"/>
        </w:r>
        <w:r>
          <w:rPr>
            <w:webHidden/>
          </w:rPr>
          <w:t>10</w:t>
        </w:r>
        <w:r w:rsidR="0099218E">
          <w:rPr>
            <w:webHidden/>
          </w:rPr>
          <w:fldChar w:fldCharType="end"/>
        </w:r>
      </w:hyperlink>
    </w:p>
    <w:p w14:paraId="4797A735" w14:textId="793DF6CE" w:rsidR="0099218E" w:rsidRDefault="005349D7">
      <w:pPr>
        <w:pStyle w:val="Obsah2"/>
        <w:rPr>
          <w:rFonts w:asciiTheme="minorHAnsi" w:eastAsiaTheme="minorEastAsia" w:hAnsiTheme="minorHAnsi" w:cstheme="minorBidi"/>
          <w:bCs w:val="0"/>
          <w:sz w:val="22"/>
          <w:szCs w:val="22"/>
          <w:lang w:eastAsia="cs-CZ"/>
        </w:rPr>
      </w:pPr>
      <w:hyperlink w:anchor="_Toc26771919" w:history="1">
        <w:r w:rsidR="0099218E" w:rsidRPr="00015385">
          <w:rPr>
            <w:rStyle w:val="Hypertextovodkaz"/>
          </w:rPr>
          <w:t>10.2</w:t>
        </w:r>
        <w:r w:rsidR="0099218E">
          <w:rPr>
            <w:rFonts w:asciiTheme="minorHAnsi" w:eastAsiaTheme="minorEastAsia" w:hAnsiTheme="minorHAnsi" w:cstheme="minorBidi"/>
            <w:bCs w:val="0"/>
            <w:sz w:val="22"/>
            <w:szCs w:val="22"/>
            <w:lang w:eastAsia="cs-CZ"/>
          </w:rPr>
          <w:tab/>
        </w:r>
        <w:r w:rsidR="0099218E" w:rsidRPr="00015385">
          <w:rPr>
            <w:rStyle w:val="Hypertextovodkaz"/>
          </w:rPr>
          <w:t>Provoz a údržba zařízení</w:t>
        </w:r>
        <w:r w:rsidR="0099218E">
          <w:rPr>
            <w:webHidden/>
          </w:rPr>
          <w:tab/>
        </w:r>
        <w:r w:rsidR="0099218E">
          <w:rPr>
            <w:webHidden/>
          </w:rPr>
          <w:fldChar w:fldCharType="begin"/>
        </w:r>
        <w:r w:rsidR="0099218E">
          <w:rPr>
            <w:webHidden/>
          </w:rPr>
          <w:instrText xml:space="preserve"> PAGEREF _Toc26771919 \h </w:instrText>
        </w:r>
        <w:r w:rsidR="0099218E">
          <w:rPr>
            <w:webHidden/>
          </w:rPr>
        </w:r>
        <w:r w:rsidR="0099218E">
          <w:rPr>
            <w:webHidden/>
          </w:rPr>
          <w:fldChar w:fldCharType="separate"/>
        </w:r>
        <w:r>
          <w:rPr>
            <w:webHidden/>
          </w:rPr>
          <w:t>10</w:t>
        </w:r>
        <w:r w:rsidR="0099218E">
          <w:rPr>
            <w:webHidden/>
          </w:rPr>
          <w:fldChar w:fldCharType="end"/>
        </w:r>
      </w:hyperlink>
    </w:p>
    <w:p w14:paraId="1FF68502" w14:textId="764886CB" w:rsidR="0099218E" w:rsidRDefault="005349D7">
      <w:pPr>
        <w:pStyle w:val="Obsah2"/>
        <w:rPr>
          <w:rFonts w:asciiTheme="minorHAnsi" w:eastAsiaTheme="minorEastAsia" w:hAnsiTheme="minorHAnsi" w:cstheme="minorBidi"/>
          <w:bCs w:val="0"/>
          <w:sz w:val="22"/>
          <w:szCs w:val="22"/>
          <w:lang w:eastAsia="cs-CZ"/>
        </w:rPr>
      </w:pPr>
      <w:hyperlink w:anchor="_Toc26771920" w:history="1">
        <w:r w:rsidR="0099218E" w:rsidRPr="00015385">
          <w:rPr>
            <w:rStyle w:val="Hypertextovodkaz"/>
          </w:rPr>
          <w:t>10.3</w:t>
        </w:r>
        <w:r w:rsidR="0099218E">
          <w:rPr>
            <w:rFonts w:asciiTheme="minorHAnsi" w:eastAsiaTheme="minorEastAsia" w:hAnsiTheme="minorHAnsi" w:cstheme="minorBidi"/>
            <w:bCs w:val="0"/>
            <w:sz w:val="22"/>
            <w:szCs w:val="22"/>
            <w:lang w:eastAsia="cs-CZ"/>
          </w:rPr>
          <w:tab/>
        </w:r>
        <w:r w:rsidR="0099218E" w:rsidRPr="00015385">
          <w:rPr>
            <w:rStyle w:val="Hypertextovodkaz"/>
          </w:rPr>
          <w:t>Protipožární opatření</w:t>
        </w:r>
        <w:r w:rsidR="0099218E">
          <w:rPr>
            <w:webHidden/>
          </w:rPr>
          <w:tab/>
        </w:r>
        <w:r w:rsidR="0099218E">
          <w:rPr>
            <w:webHidden/>
          </w:rPr>
          <w:fldChar w:fldCharType="begin"/>
        </w:r>
        <w:r w:rsidR="0099218E">
          <w:rPr>
            <w:webHidden/>
          </w:rPr>
          <w:instrText xml:space="preserve"> PAGEREF _Toc26771920 \h </w:instrText>
        </w:r>
        <w:r w:rsidR="0099218E">
          <w:rPr>
            <w:webHidden/>
          </w:rPr>
        </w:r>
        <w:r w:rsidR="0099218E">
          <w:rPr>
            <w:webHidden/>
          </w:rPr>
          <w:fldChar w:fldCharType="separate"/>
        </w:r>
        <w:r>
          <w:rPr>
            <w:webHidden/>
          </w:rPr>
          <w:t>10</w:t>
        </w:r>
        <w:r w:rsidR="0099218E">
          <w:rPr>
            <w:webHidden/>
          </w:rPr>
          <w:fldChar w:fldCharType="end"/>
        </w:r>
      </w:hyperlink>
    </w:p>
    <w:p w14:paraId="4F594EA7" w14:textId="4CBE935F" w:rsidR="0099218E" w:rsidRDefault="005349D7">
      <w:pPr>
        <w:pStyle w:val="Obsah2"/>
        <w:rPr>
          <w:rFonts w:asciiTheme="minorHAnsi" w:eastAsiaTheme="minorEastAsia" w:hAnsiTheme="minorHAnsi" w:cstheme="minorBidi"/>
          <w:bCs w:val="0"/>
          <w:sz w:val="22"/>
          <w:szCs w:val="22"/>
          <w:lang w:eastAsia="cs-CZ"/>
        </w:rPr>
      </w:pPr>
      <w:hyperlink w:anchor="_Toc26771921" w:history="1">
        <w:r w:rsidR="0099218E" w:rsidRPr="00015385">
          <w:rPr>
            <w:rStyle w:val="Hypertextovodkaz"/>
          </w:rPr>
          <w:t>10.4</w:t>
        </w:r>
        <w:r w:rsidR="0099218E">
          <w:rPr>
            <w:rFonts w:asciiTheme="minorHAnsi" w:eastAsiaTheme="minorEastAsia" w:hAnsiTheme="minorHAnsi" w:cstheme="minorBidi"/>
            <w:bCs w:val="0"/>
            <w:sz w:val="22"/>
            <w:szCs w:val="22"/>
            <w:lang w:eastAsia="cs-CZ"/>
          </w:rPr>
          <w:tab/>
        </w:r>
        <w:r w:rsidR="0099218E" w:rsidRPr="00015385">
          <w:rPr>
            <w:rStyle w:val="Hypertextovodkaz"/>
          </w:rPr>
          <w:t>Ochrana životního a pracovního prostředí</w:t>
        </w:r>
        <w:r w:rsidR="0099218E">
          <w:rPr>
            <w:webHidden/>
          </w:rPr>
          <w:tab/>
        </w:r>
        <w:r w:rsidR="0099218E">
          <w:rPr>
            <w:webHidden/>
          </w:rPr>
          <w:fldChar w:fldCharType="begin"/>
        </w:r>
        <w:r w:rsidR="0099218E">
          <w:rPr>
            <w:webHidden/>
          </w:rPr>
          <w:instrText xml:space="preserve"> PAGEREF _Toc26771921 \h </w:instrText>
        </w:r>
        <w:r w:rsidR="0099218E">
          <w:rPr>
            <w:webHidden/>
          </w:rPr>
        </w:r>
        <w:r w:rsidR="0099218E">
          <w:rPr>
            <w:webHidden/>
          </w:rPr>
          <w:fldChar w:fldCharType="separate"/>
        </w:r>
        <w:r>
          <w:rPr>
            <w:webHidden/>
          </w:rPr>
          <w:t>11</w:t>
        </w:r>
        <w:r w:rsidR="0099218E">
          <w:rPr>
            <w:webHidden/>
          </w:rPr>
          <w:fldChar w:fldCharType="end"/>
        </w:r>
      </w:hyperlink>
    </w:p>
    <w:p w14:paraId="302B4DF6" w14:textId="19526366" w:rsidR="0099218E" w:rsidRDefault="005349D7">
      <w:pPr>
        <w:pStyle w:val="Obsah1"/>
        <w:rPr>
          <w:rFonts w:asciiTheme="minorHAnsi" w:eastAsiaTheme="minorEastAsia" w:hAnsiTheme="minorHAnsi" w:cstheme="minorBidi"/>
          <w:b w:val="0"/>
          <w:bCs w:val="0"/>
          <w:noProof/>
          <w:sz w:val="22"/>
          <w:szCs w:val="22"/>
          <w:lang w:eastAsia="cs-CZ"/>
        </w:rPr>
      </w:pPr>
      <w:hyperlink w:anchor="_Toc26771922" w:history="1">
        <w:r w:rsidR="0099218E" w:rsidRPr="00015385">
          <w:rPr>
            <w:rStyle w:val="Hypertextovodkaz"/>
            <w:rFonts w:cs="Times New Roman"/>
            <w:noProof/>
          </w:rPr>
          <w:t>11</w:t>
        </w:r>
        <w:r w:rsidR="0099218E">
          <w:rPr>
            <w:rFonts w:asciiTheme="minorHAnsi" w:eastAsiaTheme="minorEastAsia" w:hAnsiTheme="minorHAnsi" w:cstheme="minorBidi"/>
            <w:b w:val="0"/>
            <w:bCs w:val="0"/>
            <w:noProof/>
            <w:sz w:val="22"/>
            <w:szCs w:val="22"/>
            <w:lang w:eastAsia="cs-CZ"/>
          </w:rPr>
          <w:tab/>
        </w:r>
        <w:r w:rsidR="0099218E" w:rsidRPr="00015385">
          <w:rPr>
            <w:rStyle w:val="Hypertextovodkaz"/>
            <w:noProof/>
          </w:rPr>
          <w:t>Související normy, zákony, vyhlášky, nařízení vlády</w:t>
        </w:r>
        <w:r w:rsidR="0099218E">
          <w:rPr>
            <w:noProof/>
            <w:webHidden/>
          </w:rPr>
          <w:tab/>
        </w:r>
        <w:r w:rsidR="0099218E">
          <w:rPr>
            <w:noProof/>
            <w:webHidden/>
          </w:rPr>
          <w:fldChar w:fldCharType="begin"/>
        </w:r>
        <w:r w:rsidR="0099218E">
          <w:rPr>
            <w:noProof/>
            <w:webHidden/>
          </w:rPr>
          <w:instrText xml:space="preserve"> PAGEREF _Toc26771922 \h </w:instrText>
        </w:r>
        <w:r w:rsidR="0099218E">
          <w:rPr>
            <w:noProof/>
            <w:webHidden/>
          </w:rPr>
        </w:r>
        <w:r w:rsidR="0099218E">
          <w:rPr>
            <w:noProof/>
            <w:webHidden/>
          </w:rPr>
          <w:fldChar w:fldCharType="separate"/>
        </w:r>
        <w:r>
          <w:rPr>
            <w:noProof/>
            <w:webHidden/>
          </w:rPr>
          <w:t>12</w:t>
        </w:r>
        <w:r w:rsidR="0099218E">
          <w:rPr>
            <w:noProof/>
            <w:webHidden/>
          </w:rPr>
          <w:fldChar w:fldCharType="end"/>
        </w:r>
      </w:hyperlink>
    </w:p>
    <w:p w14:paraId="0E7B4BDE" w14:textId="085AA26C" w:rsidR="004936B0" w:rsidRPr="00C22A3C" w:rsidRDefault="00F471F3" w:rsidP="00732D7C">
      <w:pPr>
        <w:tabs>
          <w:tab w:val="right" w:pos="8931"/>
        </w:tabs>
        <w:ind w:left="-680"/>
      </w:pPr>
      <w:r>
        <w:fldChar w:fldCharType="end"/>
      </w:r>
    </w:p>
    <w:p w14:paraId="0E7B4BDF" w14:textId="77777777" w:rsidR="003F259B" w:rsidRDefault="003F259B">
      <w:pPr>
        <w:spacing w:line="240" w:lineRule="auto"/>
        <w:jc w:val="left"/>
        <w:rPr>
          <w:szCs w:val="20"/>
          <w:lang w:eastAsia="nl-NL"/>
        </w:rPr>
      </w:pPr>
      <w:bookmarkStart w:id="2" w:name="UPP_Bijlagen"/>
      <w:bookmarkStart w:id="3" w:name="Blw_SamenvattingInvoegen"/>
      <w:bookmarkEnd w:id="2"/>
      <w:bookmarkEnd w:id="3"/>
      <w:r>
        <w:br w:type="page"/>
      </w:r>
    </w:p>
    <w:p w14:paraId="0E7B4BE0" w14:textId="77777777" w:rsidR="00CC1FFC" w:rsidRPr="004335CC" w:rsidRDefault="00CC1FFC" w:rsidP="00CC1FFC">
      <w:pPr>
        <w:pStyle w:val="Zkladntext"/>
        <w:rPr>
          <w:lang w:val="cs-CZ"/>
        </w:rPr>
      </w:pPr>
    </w:p>
    <w:p w14:paraId="0E7B4BE1" w14:textId="77777777" w:rsidR="00AB5712" w:rsidRDefault="001224F0" w:rsidP="00E60F9B">
      <w:pPr>
        <w:pStyle w:val="Nadpis1"/>
        <w:numPr>
          <w:ilvl w:val="0"/>
          <w:numId w:val="7"/>
        </w:numPr>
        <w:tabs>
          <w:tab w:val="clear" w:pos="725"/>
          <w:tab w:val="num" w:pos="360"/>
        </w:tabs>
      </w:pPr>
      <w:bookmarkStart w:id="4" w:name="_Toc26771901"/>
      <w:bookmarkStart w:id="5" w:name="Reference"/>
      <w:r>
        <w:t>Ú</w:t>
      </w:r>
      <w:r w:rsidR="00540EA1">
        <w:t>vod</w:t>
      </w:r>
      <w:bookmarkEnd w:id="4"/>
      <w:r w:rsidR="00540EA1">
        <w:t xml:space="preserve"> </w:t>
      </w:r>
    </w:p>
    <w:p w14:paraId="0E7B4BE2" w14:textId="23024844" w:rsidR="009F5521" w:rsidRPr="006E2C66" w:rsidRDefault="00B37039" w:rsidP="005F25CE">
      <w:pPr>
        <w:widowControl w:val="0"/>
        <w:spacing w:line="280" w:lineRule="atLeast"/>
      </w:pPr>
      <w:r w:rsidRPr="006E2C66">
        <w:t xml:space="preserve">Tato </w:t>
      </w:r>
      <w:r w:rsidR="00540EA1" w:rsidRPr="006E2C66">
        <w:t xml:space="preserve">část projektové </w:t>
      </w:r>
      <w:r w:rsidR="00BA1240" w:rsidRPr="006E2C66">
        <w:t>dokumentace řeší</w:t>
      </w:r>
      <w:r w:rsidR="00490F17">
        <w:t xml:space="preserve"> </w:t>
      </w:r>
      <w:r w:rsidR="004A5712">
        <w:t xml:space="preserve">návrh </w:t>
      </w:r>
      <w:r w:rsidR="0052542F">
        <w:t xml:space="preserve">nového umělého a </w:t>
      </w:r>
      <w:r w:rsidR="00D51BB3">
        <w:t xml:space="preserve">opravu </w:t>
      </w:r>
      <w:r w:rsidR="0052542F">
        <w:t>nouzového osvětlení, včetně</w:t>
      </w:r>
      <w:r w:rsidR="004A5712">
        <w:t xml:space="preserve"> navazujících kabelov</w:t>
      </w:r>
      <w:r w:rsidR="0052542F">
        <w:t xml:space="preserve">ých rozvodů a nezbytných úprav a </w:t>
      </w:r>
      <w:r w:rsidR="004A5712">
        <w:t xml:space="preserve">doplnění </w:t>
      </w:r>
      <w:r w:rsidR="0052542F">
        <w:t xml:space="preserve">přístrojové náplně ve </w:t>
      </w:r>
      <w:r w:rsidR="004A5712">
        <w:t>stávající</w:t>
      </w:r>
      <w:r w:rsidR="0052542F">
        <w:t>m rozváděči</w:t>
      </w:r>
      <w:r w:rsidR="00514367">
        <w:t xml:space="preserve"> RSX1</w:t>
      </w:r>
      <w:r w:rsidR="0052542F">
        <w:t>.</w:t>
      </w:r>
      <w:r w:rsidR="00F64463">
        <w:t xml:space="preserve"> </w:t>
      </w:r>
    </w:p>
    <w:p w14:paraId="0E7B4BE3" w14:textId="77777777" w:rsidR="00B37039" w:rsidRPr="006E2C66" w:rsidRDefault="00B37039" w:rsidP="00E91325">
      <w:pPr>
        <w:widowControl w:val="0"/>
        <w:spacing w:before="120" w:after="120" w:line="280" w:lineRule="atLeast"/>
      </w:pPr>
      <w:r w:rsidRPr="006E2C66">
        <w:t>Stavba bude provedena v sou</w:t>
      </w:r>
      <w:r w:rsidR="00DF2169" w:rsidRPr="006E2C66">
        <w:t>ladu s platnými zákony, normami a</w:t>
      </w:r>
      <w:r w:rsidRPr="006E2C66">
        <w:t xml:space="preserve"> zákonnými předpisy.</w:t>
      </w:r>
    </w:p>
    <w:p w14:paraId="0E7B4BE4" w14:textId="77777777" w:rsidR="00540EA1" w:rsidRDefault="00540EA1" w:rsidP="00540EA1">
      <w:pPr>
        <w:pStyle w:val="Zkladntext"/>
        <w:tabs>
          <w:tab w:val="left" w:pos="420"/>
        </w:tabs>
        <w:rPr>
          <w:lang w:val="cs-CZ"/>
        </w:rPr>
      </w:pPr>
    </w:p>
    <w:p w14:paraId="0E7B4BE5" w14:textId="77777777" w:rsidR="00540EA1" w:rsidRPr="00540EA1" w:rsidRDefault="00540EA1" w:rsidP="00540EA1">
      <w:pPr>
        <w:pStyle w:val="Zkladntext"/>
        <w:tabs>
          <w:tab w:val="left" w:pos="420"/>
        </w:tabs>
        <w:spacing w:after="120"/>
        <w:rPr>
          <w:rFonts w:cs="Arial"/>
          <w:szCs w:val="19"/>
          <w:u w:val="single"/>
          <w:lang w:val="cs-CZ" w:eastAsia="en-US"/>
        </w:rPr>
      </w:pPr>
      <w:r w:rsidRPr="00540EA1">
        <w:rPr>
          <w:rFonts w:cs="Arial"/>
          <w:szCs w:val="19"/>
          <w:u w:val="single"/>
          <w:lang w:val="cs-CZ" w:eastAsia="en-US"/>
        </w:rPr>
        <w:t xml:space="preserve">Vysvětlivky: </w:t>
      </w:r>
    </w:p>
    <w:p w14:paraId="0E7B4BE6" w14:textId="77777777" w:rsidR="00540EA1" w:rsidRPr="00540EA1" w:rsidRDefault="00540EA1" w:rsidP="00540EA1">
      <w:pPr>
        <w:pStyle w:val="Zkladntext"/>
        <w:tabs>
          <w:tab w:val="left" w:pos="420"/>
        </w:tabs>
        <w:rPr>
          <w:rFonts w:cs="Arial"/>
          <w:szCs w:val="19"/>
          <w:lang w:val="cs-CZ" w:eastAsia="en-US"/>
        </w:rPr>
      </w:pPr>
      <w:r w:rsidRPr="00540EA1">
        <w:rPr>
          <w:rFonts w:cs="Arial"/>
          <w:szCs w:val="19"/>
          <w:lang w:val="cs-CZ" w:eastAsia="en-US"/>
        </w:rPr>
        <w:t xml:space="preserve">NN (nebo </w:t>
      </w:r>
      <w:proofErr w:type="spellStart"/>
      <w:r w:rsidRPr="00540EA1">
        <w:rPr>
          <w:rFonts w:cs="Arial"/>
          <w:szCs w:val="19"/>
          <w:lang w:val="cs-CZ" w:eastAsia="en-US"/>
        </w:rPr>
        <w:t>nn</w:t>
      </w:r>
      <w:proofErr w:type="spellEnd"/>
      <w:r w:rsidRPr="00540EA1">
        <w:rPr>
          <w:rFonts w:cs="Arial"/>
          <w:szCs w:val="19"/>
          <w:lang w:val="cs-CZ" w:eastAsia="en-US"/>
        </w:rPr>
        <w:t>)</w:t>
      </w:r>
      <w:r>
        <w:rPr>
          <w:rFonts w:cs="Arial"/>
          <w:szCs w:val="19"/>
          <w:lang w:val="cs-CZ" w:eastAsia="en-US"/>
        </w:rPr>
        <w:t xml:space="preserve"> - nízké napětí sdružené hodnoty </w:t>
      </w:r>
      <w:proofErr w:type="spellStart"/>
      <w:r>
        <w:rPr>
          <w:rFonts w:cs="Arial"/>
          <w:szCs w:val="19"/>
          <w:lang w:val="cs-CZ" w:eastAsia="en-US"/>
        </w:rPr>
        <w:t>U</w:t>
      </w:r>
      <w:r w:rsidRPr="00540EA1">
        <w:rPr>
          <w:rFonts w:cs="Arial"/>
          <w:szCs w:val="19"/>
          <w:vertAlign w:val="subscript"/>
          <w:lang w:val="cs-CZ" w:eastAsia="en-US"/>
        </w:rPr>
        <w:t>n</w:t>
      </w:r>
      <w:proofErr w:type="spellEnd"/>
      <w:r>
        <w:rPr>
          <w:rFonts w:cs="Arial"/>
          <w:szCs w:val="19"/>
          <w:lang w:val="cs-CZ" w:eastAsia="en-US"/>
        </w:rPr>
        <w:t xml:space="preserve"> = </w:t>
      </w:r>
      <w:r w:rsidRPr="00540EA1">
        <w:rPr>
          <w:rFonts w:cs="Arial"/>
          <w:szCs w:val="19"/>
          <w:lang w:val="cs-CZ" w:eastAsia="en-US"/>
        </w:rPr>
        <w:t>0,4</w:t>
      </w:r>
      <w:r>
        <w:rPr>
          <w:rFonts w:cs="Arial"/>
          <w:szCs w:val="19"/>
          <w:lang w:val="cs-CZ" w:eastAsia="en-US"/>
        </w:rPr>
        <w:t xml:space="preserve"> </w:t>
      </w:r>
      <w:proofErr w:type="spellStart"/>
      <w:r w:rsidRPr="00540EA1">
        <w:rPr>
          <w:rFonts w:cs="Arial"/>
          <w:szCs w:val="19"/>
          <w:lang w:val="cs-CZ" w:eastAsia="en-US"/>
        </w:rPr>
        <w:t>kV</w:t>
      </w:r>
      <w:proofErr w:type="spellEnd"/>
      <w:r w:rsidRPr="00540EA1">
        <w:rPr>
          <w:rFonts w:cs="Arial"/>
          <w:szCs w:val="19"/>
          <w:lang w:val="cs-CZ" w:eastAsia="en-US"/>
        </w:rPr>
        <w:t>,</w:t>
      </w:r>
    </w:p>
    <w:p w14:paraId="0E7B4BE7" w14:textId="77777777" w:rsidR="00540EA1" w:rsidRPr="00540EA1" w:rsidRDefault="00540EA1" w:rsidP="00540EA1">
      <w:pPr>
        <w:pStyle w:val="Zkladntext"/>
        <w:tabs>
          <w:tab w:val="left" w:pos="420"/>
        </w:tabs>
        <w:rPr>
          <w:rFonts w:cs="Arial"/>
          <w:szCs w:val="19"/>
          <w:lang w:val="cs-CZ" w:eastAsia="en-US"/>
        </w:rPr>
      </w:pPr>
      <w:r w:rsidRPr="00540EA1">
        <w:rPr>
          <w:rFonts w:cs="Arial"/>
          <w:szCs w:val="19"/>
          <w:lang w:val="cs-CZ" w:eastAsia="en-US"/>
        </w:rPr>
        <w:t xml:space="preserve">PD </w:t>
      </w:r>
      <w:r>
        <w:rPr>
          <w:rFonts w:cs="Arial"/>
          <w:szCs w:val="19"/>
          <w:lang w:val="cs-CZ" w:eastAsia="en-US"/>
        </w:rPr>
        <w:tab/>
      </w:r>
      <w:r>
        <w:rPr>
          <w:rFonts w:cs="Arial"/>
          <w:szCs w:val="19"/>
          <w:lang w:val="cs-CZ" w:eastAsia="en-US"/>
        </w:rPr>
        <w:tab/>
      </w:r>
      <w:r w:rsidRPr="00540EA1">
        <w:rPr>
          <w:rFonts w:cs="Arial"/>
          <w:szCs w:val="19"/>
          <w:lang w:val="cs-CZ" w:eastAsia="en-US"/>
        </w:rPr>
        <w:t xml:space="preserve">– </w:t>
      </w:r>
      <w:r>
        <w:rPr>
          <w:rFonts w:cs="Arial"/>
          <w:szCs w:val="19"/>
          <w:lang w:val="cs-CZ" w:eastAsia="en-US"/>
        </w:rPr>
        <w:tab/>
      </w:r>
      <w:r w:rsidRPr="00540EA1">
        <w:rPr>
          <w:rFonts w:cs="Arial"/>
          <w:szCs w:val="19"/>
          <w:lang w:val="cs-CZ" w:eastAsia="en-US"/>
        </w:rPr>
        <w:t>projektová dokumentace,</w:t>
      </w:r>
    </w:p>
    <w:p w14:paraId="0E7B4BE8" w14:textId="77777777" w:rsidR="00540EA1" w:rsidRPr="00540EA1" w:rsidRDefault="00540EA1" w:rsidP="00540EA1">
      <w:pPr>
        <w:pStyle w:val="Zkladntext"/>
        <w:tabs>
          <w:tab w:val="left" w:pos="420"/>
        </w:tabs>
        <w:rPr>
          <w:rFonts w:cs="Arial"/>
          <w:szCs w:val="19"/>
          <w:lang w:val="cs-CZ" w:eastAsia="en-US"/>
        </w:rPr>
      </w:pPr>
      <w:r w:rsidRPr="00540EA1">
        <w:rPr>
          <w:rFonts w:cs="Arial"/>
          <w:szCs w:val="19"/>
          <w:lang w:val="cs-CZ" w:eastAsia="en-US"/>
        </w:rPr>
        <w:t xml:space="preserve">SO </w:t>
      </w:r>
      <w:r>
        <w:rPr>
          <w:rFonts w:cs="Arial"/>
          <w:szCs w:val="19"/>
          <w:lang w:val="cs-CZ" w:eastAsia="en-US"/>
        </w:rPr>
        <w:tab/>
      </w:r>
      <w:r>
        <w:rPr>
          <w:rFonts w:cs="Arial"/>
          <w:szCs w:val="19"/>
          <w:lang w:val="cs-CZ" w:eastAsia="en-US"/>
        </w:rPr>
        <w:tab/>
      </w:r>
      <w:r w:rsidRPr="00540EA1">
        <w:rPr>
          <w:rFonts w:cs="Arial"/>
          <w:szCs w:val="19"/>
          <w:lang w:val="cs-CZ" w:eastAsia="en-US"/>
        </w:rPr>
        <w:t xml:space="preserve">– </w:t>
      </w:r>
      <w:r>
        <w:rPr>
          <w:rFonts w:cs="Arial"/>
          <w:szCs w:val="19"/>
          <w:lang w:val="cs-CZ" w:eastAsia="en-US"/>
        </w:rPr>
        <w:tab/>
      </w:r>
      <w:r w:rsidRPr="00540EA1">
        <w:rPr>
          <w:rFonts w:cs="Arial"/>
          <w:szCs w:val="19"/>
          <w:lang w:val="cs-CZ" w:eastAsia="en-US"/>
        </w:rPr>
        <w:t>stavební objekt,</w:t>
      </w:r>
    </w:p>
    <w:p w14:paraId="0E7B4BE9" w14:textId="77777777" w:rsidR="00540EA1" w:rsidRPr="00540EA1" w:rsidRDefault="00540EA1" w:rsidP="00540EA1">
      <w:pPr>
        <w:pStyle w:val="Zkladntext"/>
        <w:tabs>
          <w:tab w:val="left" w:pos="420"/>
        </w:tabs>
        <w:rPr>
          <w:rFonts w:cs="Arial"/>
          <w:szCs w:val="19"/>
          <w:lang w:val="cs-CZ" w:eastAsia="en-US"/>
        </w:rPr>
      </w:pPr>
      <w:r w:rsidRPr="00540EA1">
        <w:rPr>
          <w:rFonts w:cs="Arial"/>
          <w:szCs w:val="19"/>
          <w:lang w:val="cs-CZ" w:eastAsia="en-US"/>
        </w:rPr>
        <w:t>IO</w:t>
      </w:r>
      <w:r>
        <w:rPr>
          <w:rFonts w:cs="Arial"/>
          <w:szCs w:val="19"/>
          <w:lang w:val="cs-CZ" w:eastAsia="en-US"/>
        </w:rPr>
        <w:tab/>
      </w:r>
      <w:r>
        <w:rPr>
          <w:rFonts w:cs="Arial"/>
          <w:szCs w:val="19"/>
          <w:lang w:val="cs-CZ" w:eastAsia="en-US"/>
        </w:rPr>
        <w:tab/>
      </w:r>
      <w:r w:rsidRPr="00540EA1">
        <w:rPr>
          <w:rFonts w:cs="Arial"/>
          <w:szCs w:val="19"/>
          <w:lang w:val="cs-CZ" w:eastAsia="en-US"/>
        </w:rPr>
        <w:t xml:space="preserve">– </w:t>
      </w:r>
      <w:r>
        <w:rPr>
          <w:rFonts w:cs="Arial"/>
          <w:szCs w:val="19"/>
          <w:lang w:val="cs-CZ" w:eastAsia="en-US"/>
        </w:rPr>
        <w:tab/>
      </w:r>
      <w:r w:rsidRPr="00540EA1">
        <w:rPr>
          <w:rFonts w:cs="Arial"/>
          <w:szCs w:val="19"/>
          <w:lang w:val="cs-CZ" w:eastAsia="en-US"/>
        </w:rPr>
        <w:t>inženýrský objekt</w:t>
      </w:r>
      <w:r>
        <w:rPr>
          <w:rFonts w:cs="Arial"/>
          <w:szCs w:val="19"/>
          <w:lang w:val="cs-CZ" w:eastAsia="en-US"/>
        </w:rPr>
        <w:t>,</w:t>
      </w:r>
    </w:p>
    <w:p w14:paraId="0E7B4BEA" w14:textId="77777777" w:rsidR="00540EA1" w:rsidRPr="00540EA1" w:rsidRDefault="00540EA1" w:rsidP="00540EA1">
      <w:pPr>
        <w:widowControl w:val="0"/>
        <w:spacing w:line="280" w:lineRule="atLeast"/>
        <w:rPr>
          <w:rFonts w:cs="Arial"/>
          <w:szCs w:val="19"/>
        </w:rPr>
      </w:pPr>
      <w:r w:rsidRPr="00540EA1">
        <w:rPr>
          <w:rFonts w:cs="Arial"/>
          <w:szCs w:val="19"/>
        </w:rPr>
        <w:t xml:space="preserve">ČSN </w:t>
      </w:r>
      <w:r>
        <w:rPr>
          <w:rFonts w:cs="Arial"/>
          <w:szCs w:val="19"/>
        </w:rPr>
        <w:tab/>
      </w:r>
      <w:r w:rsidRPr="00540EA1">
        <w:rPr>
          <w:rFonts w:cs="Arial"/>
          <w:szCs w:val="19"/>
        </w:rPr>
        <w:t xml:space="preserve">– </w:t>
      </w:r>
      <w:r>
        <w:rPr>
          <w:rFonts w:cs="Arial"/>
          <w:szCs w:val="19"/>
        </w:rPr>
        <w:tab/>
        <w:t>česká technická norma.</w:t>
      </w:r>
    </w:p>
    <w:p w14:paraId="0E7B4BEB" w14:textId="77777777" w:rsidR="00154DC3" w:rsidRPr="00E10140" w:rsidRDefault="00154DC3" w:rsidP="00154DC3">
      <w:pPr>
        <w:widowControl w:val="0"/>
        <w:spacing w:line="280" w:lineRule="atLeast"/>
        <w:rPr>
          <w:highlight w:val="yellow"/>
        </w:rPr>
      </w:pPr>
    </w:p>
    <w:p w14:paraId="0E7B4BEC" w14:textId="77777777" w:rsidR="00DF2169" w:rsidRDefault="00DF2169" w:rsidP="00583762">
      <w:pPr>
        <w:widowControl w:val="0"/>
        <w:spacing w:line="280" w:lineRule="atLeast"/>
      </w:pPr>
    </w:p>
    <w:p w14:paraId="0E7B4BED" w14:textId="77777777" w:rsidR="00873280" w:rsidRPr="00252932" w:rsidRDefault="00E57425" w:rsidP="00E57425">
      <w:pPr>
        <w:pStyle w:val="Nadpis1"/>
        <w:tabs>
          <w:tab w:val="clear" w:pos="725"/>
          <w:tab w:val="num" w:pos="360"/>
        </w:tabs>
      </w:pPr>
      <w:bookmarkStart w:id="6" w:name="_Toc26771902"/>
      <w:r w:rsidRPr="00252932">
        <w:t>Výchozí podklady pro zpracování</w:t>
      </w:r>
      <w:bookmarkEnd w:id="6"/>
    </w:p>
    <w:p w14:paraId="0E7B4BEE" w14:textId="4324C178" w:rsidR="003B6B30" w:rsidRDefault="004A5712" w:rsidP="00482D61">
      <w:pPr>
        <w:pStyle w:val="Zhlav"/>
        <w:numPr>
          <w:ilvl w:val="0"/>
          <w:numId w:val="4"/>
        </w:numPr>
        <w:tabs>
          <w:tab w:val="clear" w:pos="720"/>
          <w:tab w:val="num" w:pos="360"/>
        </w:tabs>
        <w:ind w:left="426" w:hanging="426"/>
      </w:pPr>
      <w:r>
        <w:t>Projektová dokumentace skutečného stavu „Os</w:t>
      </w:r>
      <w:r w:rsidR="0052542F">
        <w:t xml:space="preserve">větlení ve sportovní hale </w:t>
      </w:r>
      <w:proofErr w:type="spellStart"/>
      <w:r w:rsidR="0052542F">
        <w:t>STaRS</w:t>
      </w:r>
      <w:proofErr w:type="spellEnd"/>
      <w:r w:rsidR="00D51BB3">
        <w:t>“</w:t>
      </w:r>
      <w:r w:rsidR="00514367">
        <w:t xml:space="preserve"> </w:t>
      </w:r>
    </w:p>
    <w:p w14:paraId="0E7B4BEF" w14:textId="77777777" w:rsidR="00252932" w:rsidRDefault="00252932" w:rsidP="00066085">
      <w:pPr>
        <w:pStyle w:val="Zhlav"/>
        <w:numPr>
          <w:ilvl w:val="0"/>
          <w:numId w:val="4"/>
        </w:numPr>
        <w:tabs>
          <w:tab w:val="clear" w:pos="720"/>
          <w:tab w:val="num" w:pos="360"/>
        </w:tabs>
        <w:ind w:hanging="720"/>
      </w:pPr>
      <w:r w:rsidRPr="00252932">
        <w:t>Koordinační jednání</w:t>
      </w:r>
    </w:p>
    <w:p w14:paraId="0E7B4BF0" w14:textId="77777777" w:rsidR="003C2B31" w:rsidRPr="00252932" w:rsidRDefault="003C2B31" w:rsidP="00066085">
      <w:pPr>
        <w:pStyle w:val="Zhlav"/>
        <w:numPr>
          <w:ilvl w:val="0"/>
          <w:numId w:val="4"/>
        </w:numPr>
        <w:tabs>
          <w:tab w:val="clear" w:pos="720"/>
          <w:tab w:val="num" w:pos="360"/>
        </w:tabs>
        <w:ind w:hanging="720"/>
      </w:pPr>
      <w:r>
        <w:t>Obhlídka a dokumentace místa stavby</w:t>
      </w:r>
    </w:p>
    <w:p w14:paraId="0E7B4BF1" w14:textId="77777777" w:rsidR="00D3024A" w:rsidRPr="00252932" w:rsidRDefault="00D3024A" w:rsidP="00066085">
      <w:pPr>
        <w:numPr>
          <w:ilvl w:val="0"/>
          <w:numId w:val="4"/>
        </w:numPr>
        <w:tabs>
          <w:tab w:val="clear" w:pos="720"/>
          <w:tab w:val="num" w:pos="360"/>
          <w:tab w:val="num" w:pos="900"/>
        </w:tabs>
        <w:ind w:left="1125" w:hanging="1125"/>
      </w:pPr>
      <w:r w:rsidRPr="00252932">
        <w:t xml:space="preserve">Platné státní normy ČSN a </w:t>
      </w:r>
      <w:r w:rsidR="00252932" w:rsidRPr="00252932">
        <w:t>materiálové katalogy</w:t>
      </w:r>
    </w:p>
    <w:p w14:paraId="0E7B4BF2" w14:textId="77777777" w:rsidR="00D3024A" w:rsidRDefault="00D3024A" w:rsidP="00066085">
      <w:pPr>
        <w:numPr>
          <w:ilvl w:val="0"/>
          <w:numId w:val="4"/>
        </w:numPr>
        <w:tabs>
          <w:tab w:val="clear" w:pos="720"/>
          <w:tab w:val="num" w:pos="360"/>
          <w:tab w:val="num" w:pos="900"/>
        </w:tabs>
        <w:ind w:left="1125" w:hanging="1125"/>
      </w:pPr>
      <w:r w:rsidRPr="00252932">
        <w:t>Údaje a požadavky investora</w:t>
      </w:r>
    </w:p>
    <w:p w14:paraId="0E7B4BF3" w14:textId="77777777" w:rsidR="004A5712" w:rsidRDefault="004A5712" w:rsidP="004A5712">
      <w:pPr>
        <w:tabs>
          <w:tab w:val="num" w:pos="900"/>
        </w:tabs>
      </w:pPr>
    </w:p>
    <w:p w14:paraId="0E7B4BF4" w14:textId="77777777" w:rsidR="004A5712" w:rsidRPr="00500EF1" w:rsidRDefault="004A5712" w:rsidP="004A5712">
      <w:pPr>
        <w:pStyle w:val="Nadpis1"/>
        <w:numPr>
          <w:ilvl w:val="0"/>
          <w:numId w:val="7"/>
        </w:numPr>
        <w:tabs>
          <w:tab w:val="clear" w:pos="725"/>
          <w:tab w:val="num" w:pos="360"/>
        </w:tabs>
      </w:pPr>
      <w:bookmarkStart w:id="7" w:name="_Toc171768478"/>
      <w:bookmarkStart w:id="8" w:name="_Toc171838615"/>
      <w:bookmarkStart w:id="9" w:name="_Toc349556775"/>
      <w:bookmarkStart w:id="10" w:name="_Toc380573490"/>
      <w:bookmarkStart w:id="11" w:name="_Toc424192449"/>
      <w:bookmarkStart w:id="12" w:name="_Toc26771903"/>
      <w:r w:rsidRPr="00500EF1">
        <w:t>Společná ustanovení</w:t>
      </w:r>
      <w:bookmarkEnd w:id="7"/>
      <w:bookmarkEnd w:id="8"/>
      <w:bookmarkEnd w:id="9"/>
      <w:bookmarkEnd w:id="10"/>
      <w:bookmarkEnd w:id="11"/>
      <w:bookmarkEnd w:id="12"/>
    </w:p>
    <w:p w14:paraId="0E7B4BF5" w14:textId="77777777" w:rsidR="004A5712" w:rsidRPr="001F5B31" w:rsidRDefault="004A5712" w:rsidP="004A5712">
      <w:pPr>
        <w:pStyle w:val="Prosttext"/>
        <w:rPr>
          <w:rFonts w:ascii="Arial" w:hAnsi="Arial" w:cs="Arial"/>
          <w:color w:val="FF0000"/>
        </w:rPr>
      </w:pPr>
    </w:p>
    <w:p w14:paraId="0E7B4BF8" w14:textId="4B0976A9" w:rsidR="0052542F" w:rsidRPr="00500EF1" w:rsidRDefault="004A5712">
      <w:pPr>
        <w:pStyle w:val="Zhlav"/>
        <w:spacing w:line="280" w:lineRule="atLeast"/>
        <w:rPr>
          <w:sz w:val="20"/>
          <w:szCs w:val="20"/>
        </w:rPr>
      </w:pPr>
      <w:r w:rsidRPr="00500EF1">
        <w:rPr>
          <w:sz w:val="20"/>
          <w:szCs w:val="20"/>
        </w:rPr>
        <w:t xml:space="preserve">Projektant předpokládá, že účastník výběrového řízení je odborně způsobilá </w:t>
      </w:r>
      <w:proofErr w:type="gramStart"/>
      <w:r w:rsidRPr="00500EF1">
        <w:rPr>
          <w:sz w:val="20"/>
          <w:szCs w:val="20"/>
        </w:rPr>
        <w:t>firma</w:t>
      </w:r>
      <w:proofErr w:type="gramEnd"/>
      <w:r w:rsidRPr="00500EF1">
        <w:rPr>
          <w:sz w:val="20"/>
          <w:szCs w:val="20"/>
        </w:rPr>
        <w:t xml:space="preserve"> a proto odpovědností účastníka výběrového řízení je, aby přesně stanovil rozsah svých prací prostřednictvím prozkoumání a prodiskutování veškeré dokumentace, včetně návazností na stavbu, ostatní řemesla, harmonogram výstavby a časové rozdělení stavby na samostatně řešené části s příslušnými stranami. </w:t>
      </w:r>
    </w:p>
    <w:p w14:paraId="0E7B4BF9" w14:textId="77777777" w:rsidR="0052542F" w:rsidRPr="00500EF1" w:rsidRDefault="0052542F" w:rsidP="004A5712">
      <w:pPr>
        <w:pStyle w:val="Zhlav"/>
        <w:spacing w:line="280" w:lineRule="atLeast"/>
        <w:rPr>
          <w:sz w:val="20"/>
          <w:szCs w:val="20"/>
        </w:rPr>
      </w:pPr>
    </w:p>
    <w:p w14:paraId="0E7B4BFA" w14:textId="77777777" w:rsidR="00C63234" w:rsidRDefault="004A5712" w:rsidP="004A5712">
      <w:pPr>
        <w:pStyle w:val="Zhlav"/>
        <w:spacing w:line="280" w:lineRule="atLeast"/>
        <w:rPr>
          <w:sz w:val="20"/>
          <w:szCs w:val="20"/>
        </w:rPr>
      </w:pPr>
      <w:r w:rsidRPr="00500EF1">
        <w:rPr>
          <w:sz w:val="20"/>
          <w:szCs w:val="20"/>
        </w:rPr>
        <w:t xml:space="preserve">Nabídka bude plně respektovat materiálový a technický standard materiálu a technické úrovně zadavatele a uživatele objektů. </w:t>
      </w:r>
    </w:p>
    <w:p w14:paraId="0E7B4BFB" w14:textId="77777777" w:rsidR="004A5712" w:rsidRPr="00500EF1" w:rsidRDefault="004A5712" w:rsidP="004A5712">
      <w:pPr>
        <w:pStyle w:val="Zhlav"/>
        <w:spacing w:line="280" w:lineRule="atLeast"/>
        <w:rPr>
          <w:sz w:val="20"/>
          <w:szCs w:val="20"/>
        </w:rPr>
      </w:pPr>
      <w:r w:rsidRPr="00500EF1">
        <w:rPr>
          <w:sz w:val="20"/>
          <w:szCs w:val="20"/>
        </w:rPr>
        <w:t>Zhotovitel doplní poskytnuté informace svými vlastními znalostmi a zkušenostmi tak, aby mohl připravit úplnou nabídku a je plnou zhotovitelovou zodpovědností učinit potřebné dotazy, jak to pro tento účel považuje za nutné.</w:t>
      </w:r>
    </w:p>
    <w:p w14:paraId="0E7B4BFC" w14:textId="77777777" w:rsidR="004A5712" w:rsidRPr="00500EF1" w:rsidRDefault="004A5712" w:rsidP="004A5712">
      <w:pPr>
        <w:pStyle w:val="Zhlav"/>
        <w:spacing w:line="280" w:lineRule="atLeast"/>
        <w:rPr>
          <w:sz w:val="20"/>
          <w:szCs w:val="20"/>
        </w:rPr>
      </w:pPr>
      <w:r w:rsidRPr="00500EF1">
        <w:rPr>
          <w:sz w:val="20"/>
          <w:szCs w:val="20"/>
        </w:rPr>
        <w:t xml:space="preserve">Je povinností zhotovitele opatřit si všechny potřebné informace tak, aby mohl předložit pevnou definitivní cenu a kvalifikovanou nabídku, podle které zhotoví stavbu podle požadavků objednatele. </w:t>
      </w:r>
    </w:p>
    <w:p w14:paraId="0E7B4BFD" w14:textId="77777777" w:rsidR="004A5712" w:rsidRPr="00500EF1" w:rsidRDefault="004A5712" w:rsidP="004A5712">
      <w:pPr>
        <w:pStyle w:val="Zhlav"/>
        <w:spacing w:line="280" w:lineRule="atLeast"/>
        <w:rPr>
          <w:sz w:val="20"/>
          <w:szCs w:val="20"/>
        </w:rPr>
      </w:pPr>
      <w:r w:rsidRPr="00500EF1">
        <w:rPr>
          <w:sz w:val="20"/>
          <w:szCs w:val="20"/>
        </w:rPr>
        <w:t>V případě, že zhotovitel chce specifikovat jakékoliv dopl</w:t>
      </w:r>
      <w:r>
        <w:rPr>
          <w:sz w:val="20"/>
          <w:szCs w:val="20"/>
        </w:rPr>
        <w:t>ň</w:t>
      </w:r>
      <w:r w:rsidRPr="00500EF1">
        <w:rPr>
          <w:sz w:val="20"/>
          <w:szCs w:val="20"/>
        </w:rPr>
        <w:t>ující položky obsažené v cenové nabídce, je nutné je k této cenové nabídce přiložit. Ty cenové nabídky, které budou postrádat dodatečné specifikace, budou pokládány za plně porozuměné požadavkům objednatele, bez jak</w:t>
      </w:r>
      <w:r>
        <w:rPr>
          <w:sz w:val="20"/>
          <w:szCs w:val="20"/>
        </w:rPr>
        <w:t>é</w:t>
      </w:r>
      <w:r w:rsidRPr="00500EF1">
        <w:rPr>
          <w:sz w:val="20"/>
          <w:szCs w:val="20"/>
        </w:rPr>
        <w:t>h</w:t>
      </w:r>
      <w:r>
        <w:rPr>
          <w:sz w:val="20"/>
          <w:szCs w:val="20"/>
        </w:rPr>
        <w:t>o</w:t>
      </w:r>
      <w:r w:rsidRPr="00500EF1">
        <w:rPr>
          <w:sz w:val="20"/>
          <w:szCs w:val="20"/>
        </w:rPr>
        <w:t xml:space="preserve">koliv dodatku. </w:t>
      </w:r>
    </w:p>
    <w:p w14:paraId="0E7B4BFF" w14:textId="77777777" w:rsidR="004A5712" w:rsidRDefault="004A5712" w:rsidP="004A5712">
      <w:pPr>
        <w:pStyle w:val="Zhlav"/>
        <w:spacing w:line="280" w:lineRule="atLeast"/>
        <w:rPr>
          <w:sz w:val="20"/>
          <w:szCs w:val="20"/>
        </w:rPr>
      </w:pPr>
      <w:r w:rsidRPr="00500EF1">
        <w:rPr>
          <w:sz w:val="20"/>
          <w:szCs w:val="20"/>
        </w:rPr>
        <w:lastRenderedPageBreak/>
        <w:t xml:space="preserve">Projektant na základě pověření objednatelem bude mít svrchovanou pravomoc při řešení všech záležitostí a případných neshod týkajících se kvality materiálu. </w:t>
      </w:r>
    </w:p>
    <w:p w14:paraId="0E7B4C00" w14:textId="77777777" w:rsidR="004A5712" w:rsidRPr="006F210A" w:rsidRDefault="004A5712" w:rsidP="004A5712">
      <w:pPr>
        <w:pStyle w:val="Zhlav"/>
        <w:spacing w:line="280" w:lineRule="atLeast"/>
        <w:rPr>
          <w:sz w:val="20"/>
          <w:szCs w:val="20"/>
          <w:u w:val="single"/>
        </w:rPr>
      </w:pPr>
      <w:r w:rsidRPr="006F210A">
        <w:rPr>
          <w:sz w:val="20"/>
          <w:szCs w:val="20"/>
          <w:u w:val="single"/>
        </w:rPr>
        <w:t>Projektant zdůrazňuje, že projektová dokumentace je jeden celek složený z textové části, výkazu výměr a výkresové části a jako celek je jen jednou částí projektu stavby. V nabídce musí být zahrnuta realizace díla dle tohoto celku, včetně koordinace provádění díla s ostatními profesemi.</w:t>
      </w:r>
    </w:p>
    <w:p w14:paraId="0E7B4C01" w14:textId="77777777" w:rsidR="004A5712" w:rsidRPr="006F210A" w:rsidRDefault="004A5712" w:rsidP="006F210A">
      <w:pPr>
        <w:pStyle w:val="Zhlav"/>
        <w:spacing w:line="280" w:lineRule="atLeast"/>
        <w:rPr>
          <w:sz w:val="20"/>
          <w:szCs w:val="20"/>
        </w:rPr>
      </w:pPr>
    </w:p>
    <w:p w14:paraId="0E7B4C02" w14:textId="77777777" w:rsidR="00293412" w:rsidRDefault="00293412" w:rsidP="00E57425">
      <w:pPr>
        <w:tabs>
          <w:tab w:val="num" w:pos="900"/>
        </w:tabs>
        <w:rPr>
          <w:highlight w:val="yellow"/>
        </w:rPr>
      </w:pPr>
    </w:p>
    <w:p w14:paraId="0E7B4C03" w14:textId="77777777" w:rsidR="003C2B31" w:rsidRDefault="003C2B31" w:rsidP="00E57425">
      <w:pPr>
        <w:tabs>
          <w:tab w:val="num" w:pos="900"/>
        </w:tabs>
        <w:rPr>
          <w:highlight w:val="yellow"/>
        </w:rPr>
      </w:pPr>
    </w:p>
    <w:p w14:paraId="0E7B4C04" w14:textId="77777777" w:rsidR="002F3A2C" w:rsidRPr="002F3A2C" w:rsidRDefault="002F3A2C" w:rsidP="002F3A2C">
      <w:pPr>
        <w:pStyle w:val="Nadpis1"/>
        <w:tabs>
          <w:tab w:val="clear" w:pos="725"/>
          <w:tab w:val="num" w:pos="360"/>
        </w:tabs>
      </w:pPr>
      <w:bookmarkStart w:id="13" w:name="_Toc26771904"/>
      <w:r w:rsidRPr="002F3A2C">
        <w:t>Základní technické údaje</w:t>
      </w:r>
      <w:bookmarkEnd w:id="13"/>
    </w:p>
    <w:p w14:paraId="0E7B4C05" w14:textId="77777777" w:rsidR="00293412" w:rsidRPr="00A13652" w:rsidRDefault="0033329C" w:rsidP="00293412">
      <w:pPr>
        <w:pStyle w:val="Nadpis2"/>
      </w:pPr>
      <w:bookmarkStart w:id="14" w:name="_Toc26771905"/>
      <w:r>
        <w:t>Rozvodná soustava</w:t>
      </w:r>
      <w:bookmarkEnd w:id="14"/>
    </w:p>
    <w:p w14:paraId="0E7B4C06" w14:textId="77777777" w:rsidR="0033329C" w:rsidRDefault="0033329C" w:rsidP="0033329C">
      <w:pPr>
        <w:tabs>
          <w:tab w:val="num" w:pos="900"/>
        </w:tabs>
      </w:pPr>
      <w:r w:rsidRPr="000F0FD9">
        <w:t xml:space="preserve">Rozvodná soustava: </w:t>
      </w:r>
      <w:r w:rsidRPr="000F0FD9">
        <w:tab/>
      </w:r>
      <w:r w:rsidRPr="000F0FD9">
        <w:tab/>
        <w:t xml:space="preserve">3 </w:t>
      </w:r>
      <w:r>
        <w:t xml:space="preserve">PEN, </w:t>
      </w:r>
      <w:proofErr w:type="spellStart"/>
      <w:r>
        <w:t>stř</w:t>
      </w:r>
      <w:proofErr w:type="spellEnd"/>
      <w:r>
        <w:t xml:space="preserve">., </w:t>
      </w:r>
      <w:proofErr w:type="gramStart"/>
      <w:r>
        <w:t>50Hz</w:t>
      </w:r>
      <w:proofErr w:type="gramEnd"/>
      <w:r>
        <w:t>, TN-C</w:t>
      </w:r>
      <w:r w:rsidR="00F64463">
        <w:t>-S</w:t>
      </w:r>
    </w:p>
    <w:p w14:paraId="0E7B4C07" w14:textId="77777777" w:rsidR="00F64463" w:rsidRDefault="00F64463" w:rsidP="0033329C">
      <w:pPr>
        <w:tabs>
          <w:tab w:val="num" w:pos="900"/>
        </w:tabs>
      </w:pPr>
    </w:p>
    <w:p w14:paraId="0E7B4C08" w14:textId="77777777" w:rsidR="0033329C" w:rsidRPr="000F0FD9" w:rsidRDefault="0033329C" w:rsidP="005F25CE">
      <w:pPr>
        <w:tabs>
          <w:tab w:val="num" w:pos="900"/>
        </w:tabs>
      </w:pPr>
      <w:r>
        <w:tab/>
      </w:r>
      <w:r>
        <w:tab/>
      </w:r>
      <w:r>
        <w:tab/>
      </w:r>
      <w:r>
        <w:tab/>
      </w:r>
      <w:r w:rsidRPr="000F0FD9">
        <w:t>Provozní napětí:</w:t>
      </w:r>
      <w:r w:rsidRPr="000F0FD9">
        <w:tab/>
        <w:t xml:space="preserve"> </w:t>
      </w:r>
      <w:r w:rsidRPr="000F0FD9">
        <w:tab/>
      </w:r>
      <w:r w:rsidRPr="000F0FD9">
        <w:tab/>
        <w:t>400/230 V</w:t>
      </w:r>
    </w:p>
    <w:p w14:paraId="0E7B4C09" w14:textId="77777777" w:rsidR="0033329C" w:rsidRPr="000F0FD9" w:rsidRDefault="0033329C" w:rsidP="0033329C">
      <w:pPr>
        <w:tabs>
          <w:tab w:val="num" w:pos="900"/>
        </w:tabs>
      </w:pPr>
      <w:r w:rsidRPr="000F0FD9">
        <w:t xml:space="preserve">Ochrana před úrazem elektrickým proudem dle ČSN 33 2000-4-41 ed.2: </w:t>
      </w:r>
    </w:p>
    <w:p w14:paraId="0E7B4C0A" w14:textId="77777777" w:rsidR="0033329C" w:rsidRPr="000F0FD9" w:rsidRDefault="0033329C" w:rsidP="0033329C">
      <w:pPr>
        <w:tabs>
          <w:tab w:val="num" w:pos="900"/>
        </w:tabs>
      </w:pPr>
      <w:r w:rsidRPr="000F0FD9">
        <w:t>Základní ochrana:</w:t>
      </w:r>
      <w:r w:rsidRPr="000F0FD9">
        <w:tab/>
      </w:r>
      <w:r w:rsidRPr="000F0FD9">
        <w:tab/>
        <w:t>- zábranou, krytím a izolací</w:t>
      </w:r>
    </w:p>
    <w:p w14:paraId="0E7B4C0B" w14:textId="77777777" w:rsidR="0033329C" w:rsidRPr="000F0FD9" w:rsidRDefault="0033329C" w:rsidP="0033329C">
      <w:pPr>
        <w:tabs>
          <w:tab w:val="num" w:pos="900"/>
        </w:tabs>
      </w:pPr>
      <w:r w:rsidRPr="000F0FD9">
        <w:t xml:space="preserve">Ochrana při poruše: </w:t>
      </w:r>
      <w:r w:rsidRPr="000F0FD9">
        <w:tab/>
      </w:r>
      <w:r w:rsidRPr="000F0FD9">
        <w:tab/>
        <w:t>- automatickým odpojením od zdroje v síti TN</w:t>
      </w:r>
    </w:p>
    <w:p w14:paraId="0E7B4C0C" w14:textId="77777777" w:rsidR="0033329C" w:rsidRPr="000F0FD9" w:rsidRDefault="0033329C" w:rsidP="0033329C">
      <w:pPr>
        <w:tabs>
          <w:tab w:val="num" w:pos="900"/>
        </w:tabs>
        <w:spacing w:after="120"/>
      </w:pPr>
      <w:r w:rsidRPr="000F0FD9">
        <w:t>Doplňková ochrana:</w:t>
      </w:r>
      <w:r w:rsidRPr="000F0FD9">
        <w:tab/>
      </w:r>
      <w:r w:rsidRPr="000F0FD9">
        <w:tab/>
        <w:t xml:space="preserve">- </w:t>
      </w:r>
      <w:r w:rsidR="003C2B31">
        <w:t>proudovým chráničem</w:t>
      </w:r>
    </w:p>
    <w:p w14:paraId="0E7B4C0D" w14:textId="77777777" w:rsidR="0033329C" w:rsidRDefault="0033329C" w:rsidP="0033329C">
      <w:pPr>
        <w:tabs>
          <w:tab w:val="num" w:pos="900"/>
        </w:tabs>
      </w:pPr>
      <w:r w:rsidRPr="000F0FD9">
        <w:t>Stupeň dodávky elektrické energie (ČSN 34 1610):</w:t>
      </w:r>
      <w:r w:rsidRPr="000F0FD9">
        <w:tab/>
      </w:r>
      <w:r w:rsidRPr="000F0FD9">
        <w:tab/>
        <w:t>3</w:t>
      </w:r>
    </w:p>
    <w:p w14:paraId="0E7B4C0E" w14:textId="77777777" w:rsidR="00F64463" w:rsidRDefault="00F64463" w:rsidP="0033329C">
      <w:pPr>
        <w:tabs>
          <w:tab w:val="num" w:pos="900"/>
        </w:tabs>
      </w:pPr>
    </w:p>
    <w:p w14:paraId="0E7B4C0F" w14:textId="77777777" w:rsidR="00F64463" w:rsidRPr="007E793C" w:rsidRDefault="00F64463" w:rsidP="00F64463">
      <w:pPr>
        <w:pStyle w:val="Nadpis2"/>
      </w:pPr>
      <w:bookmarkStart w:id="15" w:name="_Toc26771906"/>
      <w:r w:rsidRPr="007E793C">
        <w:t>Vnější vlivy</w:t>
      </w:r>
      <w:bookmarkEnd w:id="15"/>
    </w:p>
    <w:p w14:paraId="0E7B4C10" w14:textId="77777777" w:rsidR="006F210A" w:rsidRPr="00902418" w:rsidRDefault="006F210A" w:rsidP="006F210A">
      <w:pPr>
        <w:tabs>
          <w:tab w:val="num" w:pos="900"/>
        </w:tabs>
        <w:rPr>
          <w:lang w:val="nl-NL"/>
        </w:rPr>
      </w:pPr>
      <w:r w:rsidRPr="00902418">
        <w:rPr>
          <w:lang w:val="nl-NL"/>
        </w:rPr>
        <w:t xml:space="preserve">Projektovaná elektrická zařízení jsou navržena a zvolena v souladu s ČSN 33200-5-51 ed.3 s ohledem na vnější vlivy, jímž mohou být vystavena. </w:t>
      </w:r>
    </w:p>
    <w:p w14:paraId="0E7B4C11" w14:textId="77777777" w:rsidR="006F210A" w:rsidRDefault="006F210A" w:rsidP="006F210A">
      <w:pPr>
        <w:tabs>
          <w:tab w:val="num" w:pos="900"/>
        </w:tabs>
        <w:rPr>
          <w:lang w:val="nl-NL"/>
        </w:rPr>
      </w:pPr>
      <w:r w:rsidRPr="00902418">
        <w:rPr>
          <w:lang w:val="nl-NL"/>
        </w:rPr>
        <w:t>V objektu jsou vnější vlivy jednoznačné a dle ČSN 33 2000-5-51 ed.3 jsou považovány za normální, tudíž dle ČSN 33 2000-5-51 ed.3 čl. NA 512.2.5 není nutné zpracovávat protokol o určení vnějších vlivů. Vnější vlivy (nebo její části) dle ČSN 33 2000-5-51 ed.3 čl. NA 512.2.5 není nutno určovat v prostorech, pro které jsou tyto vlivy stanoveny jednoznačně technickou normou nebo jiným předpisem. Vnější vlivy jiné než ty, které lze považovat za normální, jsou jednoznačně popsány technickou normou ČSN 33 2000-7-701.</w:t>
      </w:r>
    </w:p>
    <w:p w14:paraId="0E7B4C12" w14:textId="77777777" w:rsidR="00F64463" w:rsidRDefault="00F64463" w:rsidP="0033329C">
      <w:pPr>
        <w:tabs>
          <w:tab w:val="num" w:pos="900"/>
        </w:tabs>
      </w:pPr>
    </w:p>
    <w:p w14:paraId="0E7B4C14" w14:textId="77777777" w:rsidR="0033329C" w:rsidRPr="00A13652" w:rsidRDefault="0033329C" w:rsidP="0033329C">
      <w:pPr>
        <w:pStyle w:val="Nadpis2"/>
      </w:pPr>
      <w:bookmarkStart w:id="16" w:name="_Toc26771907"/>
      <w:r>
        <w:t>Bilance odběru elektrické energie</w:t>
      </w:r>
      <w:r w:rsidR="00BF0CC8">
        <w:t xml:space="preserve"> a měření elektrické energie</w:t>
      </w:r>
      <w:bookmarkEnd w:id="16"/>
    </w:p>
    <w:p w14:paraId="0E7B4C15" w14:textId="77777777" w:rsidR="005F25CE" w:rsidRPr="005F25CE" w:rsidRDefault="006F210A" w:rsidP="005F25CE">
      <w:pPr>
        <w:pStyle w:val="TPOOdstavec"/>
        <w:rPr>
          <w:rFonts w:ascii="Arial" w:hAnsi="Arial"/>
          <w:sz w:val="19"/>
          <w:szCs w:val="24"/>
          <w:lang w:eastAsia="en-US"/>
        </w:rPr>
      </w:pPr>
      <w:r>
        <w:rPr>
          <w:rFonts w:ascii="Arial" w:hAnsi="Arial"/>
          <w:sz w:val="19"/>
          <w:szCs w:val="24"/>
          <w:lang w:eastAsia="en-US"/>
        </w:rPr>
        <w:t>Realizací tohoto projektu nedojde k navýšení příkonu el. energie</w:t>
      </w:r>
      <w:r w:rsidR="00C63234">
        <w:rPr>
          <w:rFonts w:ascii="Arial" w:hAnsi="Arial"/>
          <w:sz w:val="19"/>
          <w:szCs w:val="24"/>
          <w:lang w:eastAsia="en-US"/>
        </w:rPr>
        <w:t>.</w:t>
      </w:r>
      <w:r w:rsidR="00E238A8">
        <w:rPr>
          <w:rFonts w:ascii="Arial" w:hAnsi="Arial"/>
          <w:sz w:val="19"/>
          <w:szCs w:val="24"/>
          <w:lang w:eastAsia="en-US"/>
        </w:rPr>
        <w:t xml:space="preserve"> </w:t>
      </w:r>
      <w:r w:rsidR="005F25CE" w:rsidRPr="005F25CE">
        <w:rPr>
          <w:rFonts w:ascii="Arial" w:hAnsi="Arial"/>
          <w:sz w:val="19"/>
          <w:szCs w:val="24"/>
          <w:lang w:eastAsia="en-US"/>
        </w:rPr>
        <w:t xml:space="preserve">Fakturační měření zůstává stávající. </w:t>
      </w:r>
    </w:p>
    <w:p w14:paraId="0E7B4C16" w14:textId="77777777" w:rsidR="005F25CE" w:rsidRDefault="005F25CE" w:rsidP="005F25CE">
      <w:pPr>
        <w:spacing w:after="120"/>
      </w:pPr>
    </w:p>
    <w:p w14:paraId="0E7B4C17" w14:textId="77777777" w:rsidR="006F210A" w:rsidRDefault="006F210A" w:rsidP="005F25CE">
      <w:pPr>
        <w:spacing w:after="120"/>
      </w:pPr>
    </w:p>
    <w:p w14:paraId="0E7B4C18" w14:textId="77777777" w:rsidR="007F3E43" w:rsidRPr="006327A8" w:rsidRDefault="007F3E43" w:rsidP="007F3E43">
      <w:pPr>
        <w:pStyle w:val="Nadpis1"/>
      </w:pPr>
      <w:bookmarkStart w:id="17" w:name="_Toc171768489"/>
      <w:bookmarkStart w:id="18" w:name="_Toc171838626"/>
      <w:bookmarkStart w:id="19" w:name="_Toc276373588"/>
      <w:bookmarkStart w:id="20" w:name="_Toc325548132"/>
      <w:bookmarkStart w:id="21" w:name="_Toc26771908"/>
      <w:r>
        <w:t>Umělé o</w:t>
      </w:r>
      <w:r w:rsidRPr="006327A8">
        <w:t>světlení</w:t>
      </w:r>
      <w:bookmarkEnd w:id="17"/>
      <w:bookmarkEnd w:id="18"/>
      <w:bookmarkEnd w:id="19"/>
      <w:bookmarkEnd w:id="20"/>
      <w:bookmarkEnd w:id="21"/>
    </w:p>
    <w:p w14:paraId="0E7B4C19" w14:textId="77777777" w:rsidR="007F3E43" w:rsidRPr="006327A8" w:rsidRDefault="007F3E43" w:rsidP="007F3E43">
      <w:pPr>
        <w:pStyle w:val="Nadpis2"/>
      </w:pPr>
      <w:bookmarkStart w:id="22" w:name="_Toc26771909"/>
      <w:r w:rsidRPr="006327A8">
        <w:t>Normy a hlavní související předpisy</w:t>
      </w:r>
      <w:r>
        <w:t>, technické řešení návrhu umělého osvětlení</w:t>
      </w:r>
      <w:bookmarkEnd w:id="22"/>
    </w:p>
    <w:p w14:paraId="0E7B4C1A" w14:textId="77777777" w:rsidR="00E238A8" w:rsidRDefault="00AC5DD9" w:rsidP="00AC5DD9">
      <w:pPr>
        <w:pStyle w:val="normln0"/>
        <w:spacing w:line="360" w:lineRule="auto"/>
        <w:ind w:left="720"/>
        <w:rPr>
          <w:rFonts w:ascii="Arial" w:hAnsi="Arial"/>
          <w:sz w:val="19"/>
          <w:szCs w:val="24"/>
          <w:lang w:eastAsia="en-US"/>
        </w:rPr>
      </w:pPr>
      <w:r w:rsidRPr="00AC5DD9">
        <w:rPr>
          <w:rFonts w:ascii="Arial" w:hAnsi="Arial"/>
          <w:sz w:val="19"/>
          <w:szCs w:val="24"/>
          <w:lang w:eastAsia="en-US"/>
        </w:rPr>
        <w:t>Umělé osvětlení je navrženo ve smyslu ČSN EN 1</w:t>
      </w:r>
      <w:r w:rsidR="00E238A8">
        <w:rPr>
          <w:rFonts w:ascii="Arial" w:hAnsi="Arial"/>
          <w:sz w:val="19"/>
          <w:szCs w:val="24"/>
          <w:lang w:eastAsia="en-US"/>
        </w:rPr>
        <w:t>2193</w:t>
      </w:r>
      <w:r w:rsidRPr="00AC5DD9">
        <w:rPr>
          <w:rFonts w:ascii="Arial" w:hAnsi="Arial"/>
          <w:sz w:val="19"/>
          <w:szCs w:val="24"/>
          <w:lang w:eastAsia="en-US"/>
        </w:rPr>
        <w:t xml:space="preserve"> a souvisejících norem, svítidly s LED zdroji. </w:t>
      </w:r>
    </w:p>
    <w:p w14:paraId="0E7B4C1B" w14:textId="77777777" w:rsidR="00E238A8" w:rsidRDefault="00E238A8" w:rsidP="00AC5DD9">
      <w:pPr>
        <w:pStyle w:val="normln0"/>
        <w:spacing w:line="360" w:lineRule="auto"/>
        <w:ind w:left="720"/>
        <w:rPr>
          <w:rFonts w:ascii="Arial" w:hAnsi="Arial"/>
          <w:sz w:val="19"/>
          <w:szCs w:val="24"/>
          <w:lang w:eastAsia="en-US"/>
        </w:rPr>
      </w:pPr>
      <w:r>
        <w:rPr>
          <w:rFonts w:ascii="Arial" w:hAnsi="Arial"/>
          <w:sz w:val="19"/>
          <w:szCs w:val="24"/>
          <w:lang w:eastAsia="en-US"/>
        </w:rPr>
        <w:t>Výpočet byl proveden pro třídu osvětlení I:</w:t>
      </w:r>
      <w:r w:rsidR="00C63234">
        <w:rPr>
          <w:rFonts w:ascii="Arial" w:hAnsi="Arial"/>
          <w:sz w:val="19"/>
          <w:szCs w:val="24"/>
          <w:lang w:eastAsia="en-US"/>
        </w:rPr>
        <w:t xml:space="preserve"> </w:t>
      </w:r>
      <w:r>
        <w:rPr>
          <w:rFonts w:ascii="Arial" w:hAnsi="Arial"/>
          <w:sz w:val="19"/>
          <w:szCs w:val="24"/>
          <w:lang w:eastAsia="en-US"/>
        </w:rPr>
        <w:t>soutěže nejvyšší úrovně, jako jsou mezinárodní a národní soutěže, které jsou zpravidla s velkými počty diváků a možnými velkými pozorovacími vzdálenostmi.</w:t>
      </w:r>
    </w:p>
    <w:p w14:paraId="0E7B4C1C" w14:textId="77777777" w:rsidR="00E238A8" w:rsidRDefault="00E238A8" w:rsidP="00AC5DD9">
      <w:pPr>
        <w:pStyle w:val="normln0"/>
        <w:spacing w:line="360" w:lineRule="auto"/>
        <w:ind w:left="720"/>
        <w:rPr>
          <w:rFonts w:ascii="Arial" w:hAnsi="Arial"/>
          <w:sz w:val="19"/>
          <w:szCs w:val="24"/>
          <w:lang w:eastAsia="en-US"/>
        </w:rPr>
      </w:pPr>
      <w:r>
        <w:rPr>
          <w:rFonts w:ascii="Arial" w:hAnsi="Arial"/>
          <w:sz w:val="19"/>
          <w:szCs w:val="24"/>
          <w:lang w:eastAsia="en-US"/>
        </w:rPr>
        <w:t xml:space="preserve">Byla uvažována kategorie sportu </w:t>
      </w:r>
      <w:r w:rsidR="00514367">
        <w:rPr>
          <w:rFonts w:ascii="Arial" w:hAnsi="Arial"/>
          <w:sz w:val="19"/>
          <w:szCs w:val="24"/>
          <w:lang w:eastAsia="en-US"/>
        </w:rPr>
        <w:t>Házená mezinárodní</w:t>
      </w:r>
      <w:r>
        <w:rPr>
          <w:rFonts w:ascii="Arial" w:hAnsi="Arial"/>
          <w:sz w:val="19"/>
          <w:szCs w:val="24"/>
          <w:lang w:eastAsia="en-US"/>
        </w:rPr>
        <w:t>.</w:t>
      </w:r>
    </w:p>
    <w:p w14:paraId="0E7B4C1D" w14:textId="77777777" w:rsidR="00E238A8" w:rsidRDefault="00E238A8" w:rsidP="00E238A8">
      <w:pPr>
        <w:pStyle w:val="normln0"/>
        <w:spacing w:line="360" w:lineRule="auto"/>
        <w:ind w:left="720"/>
        <w:jc w:val="center"/>
        <w:rPr>
          <w:rFonts w:ascii="Arial" w:hAnsi="Arial"/>
          <w:sz w:val="19"/>
          <w:szCs w:val="24"/>
          <w:lang w:eastAsia="en-US"/>
        </w:rPr>
      </w:pPr>
    </w:p>
    <w:p w14:paraId="0E7B4C1E" w14:textId="77777777" w:rsidR="00E238A8" w:rsidRDefault="00E238A8" w:rsidP="00E238A8">
      <w:pPr>
        <w:pStyle w:val="normln0"/>
        <w:spacing w:line="360" w:lineRule="auto"/>
        <w:ind w:left="720"/>
        <w:jc w:val="left"/>
        <w:rPr>
          <w:rFonts w:ascii="Arial" w:hAnsi="Arial"/>
          <w:sz w:val="19"/>
          <w:szCs w:val="24"/>
          <w:lang w:eastAsia="en-US"/>
        </w:rPr>
      </w:pPr>
    </w:p>
    <w:p w14:paraId="0E7B4C1F" w14:textId="77777777" w:rsidR="00514367" w:rsidRPr="004B2175" w:rsidRDefault="00514367" w:rsidP="00514367">
      <w:pPr>
        <w:suppressAutoHyphens/>
        <w:spacing w:line="246" w:lineRule="atLeast"/>
        <w:ind w:left="116" w:right="139"/>
        <w:rPr>
          <w:b/>
          <w:bCs/>
          <w:color w:val="000000"/>
          <w:sz w:val="22"/>
          <w:szCs w:val="22"/>
          <w:u w:val="single"/>
          <w:lang w:eastAsia="cs-CZ"/>
        </w:rPr>
      </w:pPr>
      <w:r>
        <w:rPr>
          <w:b/>
          <w:bCs/>
          <w:color w:val="000000"/>
          <w:sz w:val="22"/>
          <w:szCs w:val="22"/>
          <w:u w:val="single"/>
          <w:lang w:eastAsia="cs-CZ"/>
        </w:rPr>
        <w:t>Požadavky na</w:t>
      </w:r>
      <w:r w:rsidRPr="004B2175">
        <w:rPr>
          <w:b/>
          <w:bCs/>
          <w:color w:val="000000"/>
          <w:sz w:val="22"/>
          <w:szCs w:val="22"/>
          <w:u w:val="single"/>
          <w:lang w:eastAsia="cs-CZ"/>
        </w:rPr>
        <w:t xml:space="preserve"> </w:t>
      </w:r>
      <w:r>
        <w:rPr>
          <w:b/>
          <w:bCs/>
          <w:color w:val="000000"/>
          <w:sz w:val="22"/>
          <w:szCs w:val="22"/>
          <w:u w:val="single"/>
          <w:lang w:eastAsia="cs-CZ"/>
        </w:rPr>
        <w:t xml:space="preserve">umělé provozní </w:t>
      </w:r>
      <w:r w:rsidRPr="004B2175">
        <w:rPr>
          <w:b/>
          <w:bCs/>
          <w:color w:val="000000"/>
          <w:sz w:val="22"/>
          <w:szCs w:val="22"/>
          <w:u w:val="single"/>
          <w:lang w:eastAsia="cs-CZ"/>
        </w:rPr>
        <w:t xml:space="preserve">osvětlení </w:t>
      </w:r>
      <w:r>
        <w:rPr>
          <w:b/>
          <w:bCs/>
          <w:color w:val="000000"/>
          <w:sz w:val="22"/>
          <w:szCs w:val="22"/>
          <w:u w:val="single"/>
          <w:lang w:eastAsia="cs-CZ"/>
        </w:rPr>
        <w:t>dle</w:t>
      </w:r>
      <w:r w:rsidRPr="004B2175">
        <w:rPr>
          <w:b/>
          <w:bCs/>
          <w:color w:val="000000"/>
          <w:sz w:val="22"/>
          <w:szCs w:val="22"/>
          <w:u w:val="single"/>
          <w:lang w:eastAsia="cs-CZ"/>
        </w:rPr>
        <w:t xml:space="preserve"> ČSN EN 12193 a ČSN EN 12464-1</w:t>
      </w:r>
    </w:p>
    <w:tbl>
      <w:tblPr>
        <w:tblStyle w:val="Mkatabulky"/>
        <w:tblW w:w="8810" w:type="dxa"/>
        <w:tblInd w:w="116" w:type="dxa"/>
        <w:tblLook w:val="04A0" w:firstRow="1" w:lastRow="0" w:firstColumn="1" w:lastColumn="0" w:noHBand="0" w:noVBand="1"/>
      </w:tblPr>
      <w:tblGrid>
        <w:gridCol w:w="1263"/>
        <w:gridCol w:w="1539"/>
        <w:gridCol w:w="1484"/>
        <w:gridCol w:w="1633"/>
        <w:gridCol w:w="1546"/>
        <w:gridCol w:w="1345"/>
      </w:tblGrid>
      <w:tr w:rsidR="00514367" w14:paraId="0E7B4C26" w14:textId="77777777" w:rsidTr="00514367">
        <w:tc>
          <w:tcPr>
            <w:tcW w:w="1145" w:type="dxa"/>
          </w:tcPr>
          <w:p w14:paraId="0E7B4C20" w14:textId="77777777" w:rsidR="00514367" w:rsidRPr="005E7725" w:rsidRDefault="00514367" w:rsidP="00514367">
            <w:pPr>
              <w:suppressAutoHyphens/>
              <w:spacing w:line="246" w:lineRule="atLeast"/>
              <w:ind w:right="139"/>
              <w:rPr>
                <w:b/>
                <w:bCs/>
                <w:color w:val="000000"/>
                <w:sz w:val="16"/>
                <w:szCs w:val="16"/>
                <w:lang w:eastAsia="cs-CZ"/>
              </w:rPr>
            </w:pPr>
            <w:r w:rsidRPr="005E7725">
              <w:rPr>
                <w:b/>
                <w:bCs/>
                <w:color w:val="000000"/>
                <w:sz w:val="16"/>
                <w:szCs w:val="16"/>
                <w:lang w:eastAsia="cs-CZ"/>
              </w:rPr>
              <w:t>Režim osvětlení</w:t>
            </w:r>
          </w:p>
        </w:tc>
        <w:tc>
          <w:tcPr>
            <w:tcW w:w="1584" w:type="dxa"/>
          </w:tcPr>
          <w:p w14:paraId="0E7B4C21" w14:textId="77777777" w:rsidR="00514367" w:rsidRPr="005E7725" w:rsidRDefault="00514367" w:rsidP="00514367">
            <w:pPr>
              <w:suppressAutoHyphens/>
              <w:spacing w:line="246" w:lineRule="atLeast"/>
              <w:ind w:right="139"/>
              <w:rPr>
                <w:b/>
                <w:bCs/>
                <w:color w:val="000000"/>
                <w:sz w:val="16"/>
                <w:szCs w:val="16"/>
                <w:lang w:eastAsia="cs-CZ"/>
              </w:rPr>
            </w:pPr>
            <w:r w:rsidRPr="005E7725">
              <w:rPr>
                <w:b/>
                <w:bCs/>
                <w:color w:val="000000"/>
                <w:sz w:val="16"/>
                <w:szCs w:val="16"/>
                <w:lang w:eastAsia="cs-CZ"/>
              </w:rPr>
              <w:t>Horizontální osvětlenost hlavní plochy PA (</w:t>
            </w:r>
            <w:proofErr w:type="spellStart"/>
            <w:r w:rsidRPr="005E7725">
              <w:rPr>
                <w:b/>
                <w:bCs/>
                <w:color w:val="000000"/>
                <w:sz w:val="16"/>
                <w:szCs w:val="16"/>
                <w:lang w:eastAsia="cs-CZ"/>
              </w:rPr>
              <w:t>lx</w:t>
            </w:r>
            <w:proofErr w:type="spellEnd"/>
            <w:r w:rsidRPr="005E7725">
              <w:rPr>
                <w:b/>
                <w:bCs/>
                <w:color w:val="000000"/>
                <w:sz w:val="16"/>
                <w:szCs w:val="16"/>
                <w:lang w:eastAsia="cs-CZ"/>
              </w:rPr>
              <w:t>)</w:t>
            </w:r>
          </w:p>
        </w:tc>
        <w:tc>
          <w:tcPr>
            <w:tcW w:w="1417" w:type="dxa"/>
          </w:tcPr>
          <w:p w14:paraId="0E7B4C22" w14:textId="77777777" w:rsidR="00514367" w:rsidRPr="005E7725" w:rsidRDefault="00514367" w:rsidP="00514367">
            <w:pPr>
              <w:suppressAutoHyphens/>
              <w:spacing w:line="246" w:lineRule="atLeast"/>
              <w:ind w:right="139"/>
              <w:rPr>
                <w:b/>
                <w:bCs/>
                <w:color w:val="000000"/>
                <w:sz w:val="16"/>
                <w:szCs w:val="16"/>
                <w:lang w:eastAsia="cs-CZ"/>
              </w:rPr>
            </w:pPr>
            <w:r w:rsidRPr="005E7725">
              <w:rPr>
                <w:b/>
                <w:bCs/>
                <w:color w:val="000000"/>
                <w:sz w:val="16"/>
                <w:szCs w:val="16"/>
                <w:lang w:eastAsia="cs-CZ"/>
              </w:rPr>
              <w:t>Rovnoměrnost osvětlení hlavní plochy PA (-)</w:t>
            </w:r>
          </w:p>
        </w:tc>
        <w:tc>
          <w:tcPr>
            <w:tcW w:w="1695" w:type="dxa"/>
          </w:tcPr>
          <w:p w14:paraId="0E7B4C23" w14:textId="77777777" w:rsidR="00514367" w:rsidRPr="005E7725" w:rsidRDefault="00514367" w:rsidP="00514367">
            <w:pPr>
              <w:suppressAutoHyphens/>
              <w:spacing w:line="246" w:lineRule="atLeast"/>
              <w:ind w:right="139"/>
              <w:rPr>
                <w:b/>
                <w:bCs/>
                <w:color w:val="000000"/>
                <w:sz w:val="16"/>
                <w:szCs w:val="16"/>
                <w:lang w:eastAsia="cs-CZ"/>
              </w:rPr>
            </w:pPr>
            <w:r w:rsidRPr="005E7725">
              <w:rPr>
                <w:b/>
                <w:bCs/>
                <w:color w:val="000000"/>
                <w:sz w:val="16"/>
                <w:szCs w:val="16"/>
                <w:lang w:eastAsia="cs-CZ"/>
              </w:rPr>
              <w:t>Horizontální osvětlenost celkové plochy TA (</w:t>
            </w:r>
            <w:proofErr w:type="spellStart"/>
            <w:r w:rsidRPr="005E7725">
              <w:rPr>
                <w:b/>
                <w:bCs/>
                <w:color w:val="000000"/>
                <w:sz w:val="16"/>
                <w:szCs w:val="16"/>
                <w:lang w:eastAsia="cs-CZ"/>
              </w:rPr>
              <w:t>lx</w:t>
            </w:r>
            <w:proofErr w:type="spellEnd"/>
            <w:r w:rsidRPr="005E7725">
              <w:rPr>
                <w:b/>
                <w:bCs/>
                <w:color w:val="000000"/>
                <w:sz w:val="16"/>
                <w:szCs w:val="16"/>
                <w:lang w:eastAsia="cs-CZ"/>
              </w:rPr>
              <w:t>)</w:t>
            </w:r>
          </w:p>
        </w:tc>
        <w:tc>
          <w:tcPr>
            <w:tcW w:w="1557" w:type="dxa"/>
          </w:tcPr>
          <w:p w14:paraId="0E7B4C24" w14:textId="77777777" w:rsidR="00514367" w:rsidRPr="005E7725" w:rsidRDefault="00514367" w:rsidP="00514367">
            <w:pPr>
              <w:suppressAutoHyphens/>
              <w:spacing w:line="246" w:lineRule="atLeast"/>
              <w:ind w:right="139"/>
              <w:rPr>
                <w:b/>
                <w:bCs/>
                <w:color w:val="000000"/>
                <w:sz w:val="16"/>
                <w:szCs w:val="16"/>
                <w:lang w:eastAsia="cs-CZ"/>
              </w:rPr>
            </w:pPr>
            <w:r w:rsidRPr="005E7725">
              <w:rPr>
                <w:b/>
                <w:bCs/>
                <w:color w:val="000000"/>
                <w:sz w:val="16"/>
                <w:szCs w:val="16"/>
                <w:lang w:eastAsia="cs-CZ"/>
              </w:rPr>
              <w:t>Rovnoměrnost osvětlení celkové plochy TA (-)</w:t>
            </w:r>
          </w:p>
        </w:tc>
        <w:tc>
          <w:tcPr>
            <w:tcW w:w="1412" w:type="dxa"/>
          </w:tcPr>
          <w:p w14:paraId="0E7B4C25" w14:textId="77777777" w:rsidR="00514367" w:rsidRPr="005E7725" w:rsidRDefault="00514367" w:rsidP="00514367">
            <w:pPr>
              <w:suppressAutoHyphens/>
              <w:spacing w:line="246" w:lineRule="atLeast"/>
              <w:ind w:right="139"/>
              <w:rPr>
                <w:b/>
                <w:bCs/>
                <w:color w:val="000000"/>
                <w:sz w:val="16"/>
                <w:szCs w:val="16"/>
                <w:lang w:eastAsia="cs-CZ"/>
              </w:rPr>
            </w:pPr>
            <w:r>
              <w:rPr>
                <w:b/>
                <w:bCs/>
                <w:color w:val="000000"/>
                <w:sz w:val="16"/>
                <w:szCs w:val="16"/>
                <w:lang w:eastAsia="cs-CZ"/>
              </w:rPr>
              <w:t>Č</w:t>
            </w:r>
            <w:r w:rsidRPr="005E7725">
              <w:rPr>
                <w:b/>
                <w:bCs/>
                <w:color w:val="000000"/>
                <w:sz w:val="16"/>
                <w:szCs w:val="16"/>
                <w:lang w:eastAsia="cs-CZ"/>
              </w:rPr>
              <w:t>initel zábrany oslnění UGR (-)</w:t>
            </w:r>
          </w:p>
        </w:tc>
      </w:tr>
      <w:tr w:rsidR="00514367" w14:paraId="0E7B4C32" w14:textId="77777777" w:rsidTr="00514367">
        <w:tc>
          <w:tcPr>
            <w:tcW w:w="1145" w:type="dxa"/>
          </w:tcPr>
          <w:p w14:paraId="0E7B4C27" w14:textId="77777777" w:rsidR="00514367" w:rsidRPr="005E7725" w:rsidRDefault="00514367" w:rsidP="00514367">
            <w:pPr>
              <w:suppressAutoHyphens/>
              <w:spacing w:line="246" w:lineRule="atLeast"/>
              <w:ind w:right="139"/>
              <w:rPr>
                <w:b/>
                <w:bCs/>
                <w:color w:val="000000"/>
                <w:sz w:val="16"/>
                <w:szCs w:val="16"/>
                <w:lang w:eastAsia="cs-CZ"/>
              </w:rPr>
            </w:pPr>
            <w:r w:rsidRPr="005E7725">
              <w:rPr>
                <w:b/>
                <w:bCs/>
                <w:color w:val="000000"/>
                <w:sz w:val="16"/>
                <w:szCs w:val="16"/>
                <w:lang w:eastAsia="cs-CZ"/>
              </w:rPr>
              <w:t>Zápas s televizním přenosem</w:t>
            </w:r>
          </w:p>
        </w:tc>
        <w:tc>
          <w:tcPr>
            <w:tcW w:w="1584" w:type="dxa"/>
          </w:tcPr>
          <w:p w14:paraId="0E7B4C28" w14:textId="77777777" w:rsidR="00514367" w:rsidRPr="005E7725" w:rsidRDefault="00514367" w:rsidP="00514367">
            <w:pPr>
              <w:suppressAutoHyphens/>
              <w:spacing w:line="246" w:lineRule="atLeast"/>
              <w:ind w:right="139"/>
              <w:jc w:val="center"/>
              <w:rPr>
                <w:color w:val="000000"/>
                <w:sz w:val="20"/>
                <w:szCs w:val="20"/>
                <w:lang w:eastAsia="cs-CZ"/>
              </w:rPr>
            </w:pPr>
          </w:p>
          <w:p w14:paraId="0E7B4C29"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1000</w:t>
            </w:r>
          </w:p>
        </w:tc>
        <w:tc>
          <w:tcPr>
            <w:tcW w:w="1417" w:type="dxa"/>
          </w:tcPr>
          <w:p w14:paraId="0E7B4C2A" w14:textId="77777777" w:rsidR="00514367" w:rsidRPr="005E7725" w:rsidRDefault="00514367" w:rsidP="00514367">
            <w:pPr>
              <w:suppressAutoHyphens/>
              <w:spacing w:line="246" w:lineRule="atLeast"/>
              <w:ind w:right="139"/>
              <w:jc w:val="center"/>
              <w:rPr>
                <w:color w:val="000000"/>
                <w:sz w:val="20"/>
                <w:szCs w:val="20"/>
                <w:lang w:eastAsia="cs-CZ"/>
              </w:rPr>
            </w:pPr>
          </w:p>
          <w:p w14:paraId="0E7B4C2B"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0,7</w:t>
            </w:r>
          </w:p>
        </w:tc>
        <w:tc>
          <w:tcPr>
            <w:tcW w:w="1695" w:type="dxa"/>
          </w:tcPr>
          <w:p w14:paraId="0E7B4C2C" w14:textId="77777777" w:rsidR="00514367" w:rsidRPr="005E7725" w:rsidRDefault="00514367" w:rsidP="00514367">
            <w:pPr>
              <w:suppressAutoHyphens/>
              <w:spacing w:line="246" w:lineRule="atLeast"/>
              <w:ind w:right="139"/>
              <w:jc w:val="center"/>
              <w:rPr>
                <w:color w:val="000000"/>
                <w:sz w:val="20"/>
                <w:szCs w:val="20"/>
                <w:lang w:eastAsia="cs-CZ"/>
              </w:rPr>
            </w:pPr>
          </w:p>
          <w:p w14:paraId="0E7B4C2D"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750</w:t>
            </w:r>
          </w:p>
        </w:tc>
        <w:tc>
          <w:tcPr>
            <w:tcW w:w="1557" w:type="dxa"/>
          </w:tcPr>
          <w:p w14:paraId="0E7B4C2E" w14:textId="77777777" w:rsidR="00514367" w:rsidRPr="005E7725" w:rsidRDefault="00514367" w:rsidP="00514367">
            <w:pPr>
              <w:suppressAutoHyphens/>
              <w:spacing w:line="246" w:lineRule="atLeast"/>
              <w:ind w:right="139"/>
              <w:jc w:val="center"/>
              <w:rPr>
                <w:color w:val="000000"/>
                <w:sz w:val="20"/>
                <w:szCs w:val="20"/>
                <w:lang w:eastAsia="cs-CZ"/>
              </w:rPr>
            </w:pPr>
          </w:p>
          <w:p w14:paraId="0E7B4C2F"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0,7</w:t>
            </w:r>
          </w:p>
        </w:tc>
        <w:tc>
          <w:tcPr>
            <w:tcW w:w="1412" w:type="dxa"/>
          </w:tcPr>
          <w:p w14:paraId="0E7B4C30" w14:textId="77777777" w:rsidR="00514367" w:rsidRPr="005E7725" w:rsidRDefault="00514367" w:rsidP="00514367">
            <w:pPr>
              <w:suppressAutoHyphens/>
              <w:spacing w:line="246" w:lineRule="atLeast"/>
              <w:ind w:right="139"/>
              <w:jc w:val="center"/>
              <w:rPr>
                <w:color w:val="000000"/>
                <w:sz w:val="20"/>
                <w:szCs w:val="20"/>
                <w:lang w:eastAsia="cs-CZ"/>
              </w:rPr>
            </w:pPr>
          </w:p>
          <w:p w14:paraId="0E7B4C31" w14:textId="77777777" w:rsidR="00514367" w:rsidRPr="005E7725" w:rsidRDefault="00514367" w:rsidP="00514367">
            <w:pPr>
              <w:suppressAutoHyphens/>
              <w:spacing w:line="246" w:lineRule="atLeast"/>
              <w:ind w:right="139"/>
              <w:jc w:val="center"/>
              <w:rPr>
                <w:color w:val="000000"/>
                <w:sz w:val="20"/>
                <w:szCs w:val="20"/>
                <w:lang w:eastAsia="cs-CZ"/>
              </w:rPr>
            </w:pPr>
          </w:p>
        </w:tc>
      </w:tr>
      <w:tr w:rsidR="00514367" w14:paraId="0E7B4C3E" w14:textId="77777777" w:rsidTr="00514367">
        <w:tc>
          <w:tcPr>
            <w:tcW w:w="1145" w:type="dxa"/>
          </w:tcPr>
          <w:p w14:paraId="0E7B4C33" w14:textId="77777777" w:rsidR="00514367" w:rsidRPr="005E7725" w:rsidRDefault="00514367" w:rsidP="00514367">
            <w:pPr>
              <w:suppressAutoHyphens/>
              <w:spacing w:line="246" w:lineRule="atLeast"/>
              <w:ind w:right="139"/>
              <w:rPr>
                <w:b/>
                <w:bCs/>
                <w:color w:val="000000"/>
                <w:sz w:val="16"/>
                <w:szCs w:val="16"/>
                <w:lang w:eastAsia="cs-CZ"/>
              </w:rPr>
            </w:pPr>
            <w:r w:rsidRPr="005E7725">
              <w:rPr>
                <w:b/>
                <w:bCs/>
                <w:color w:val="000000"/>
                <w:sz w:val="16"/>
                <w:szCs w:val="16"/>
                <w:lang w:eastAsia="cs-CZ"/>
              </w:rPr>
              <w:t>Zápas bez televizního přenosu</w:t>
            </w:r>
          </w:p>
        </w:tc>
        <w:tc>
          <w:tcPr>
            <w:tcW w:w="1584" w:type="dxa"/>
          </w:tcPr>
          <w:p w14:paraId="0E7B4C34" w14:textId="77777777" w:rsidR="00514367" w:rsidRPr="005E7725" w:rsidRDefault="00514367" w:rsidP="00514367">
            <w:pPr>
              <w:suppressAutoHyphens/>
              <w:spacing w:line="246" w:lineRule="atLeast"/>
              <w:ind w:right="139"/>
              <w:jc w:val="center"/>
              <w:rPr>
                <w:color w:val="000000"/>
                <w:sz w:val="20"/>
                <w:szCs w:val="20"/>
                <w:lang w:eastAsia="cs-CZ"/>
              </w:rPr>
            </w:pPr>
          </w:p>
          <w:p w14:paraId="0E7B4C35"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750</w:t>
            </w:r>
          </w:p>
        </w:tc>
        <w:tc>
          <w:tcPr>
            <w:tcW w:w="1417" w:type="dxa"/>
          </w:tcPr>
          <w:p w14:paraId="0E7B4C36" w14:textId="77777777" w:rsidR="00514367" w:rsidRPr="005E7725" w:rsidRDefault="00514367" w:rsidP="00514367">
            <w:pPr>
              <w:suppressAutoHyphens/>
              <w:spacing w:line="246" w:lineRule="atLeast"/>
              <w:ind w:right="139"/>
              <w:jc w:val="center"/>
              <w:rPr>
                <w:color w:val="000000"/>
                <w:sz w:val="20"/>
                <w:szCs w:val="20"/>
                <w:lang w:eastAsia="cs-CZ"/>
              </w:rPr>
            </w:pPr>
          </w:p>
          <w:p w14:paraId="0E7B4C37"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0,7</w:t>
            </w:r>
          </w:p>
        </w:tc>
        <w:tc>
          <w:tcPr>
            <w:tcW w:w="1695" w:type="dxa"/>
          </w:tcPr>
          <w:p w14:paraId="0E7B4C38" w14:textId="77777777" w:rsidR="00514367" w:rsidRPr="005E7725" w:rsidRDefault="00514367" w:rsidP="00514367">
            <w:pPr>
              <w:suppressAutoHyphens/>
              <w:spacing w:line="246" w:lineRule="atLeast"/>
              <w:ind w:right="139"/>
              <w:jc w:val="center"/>
              <w:rPr>
                <w:color w:val="000000"/>
                <w:sz w:val="20"/>
                <w:szCs w:val="20"/>
                <w:lang w:eastAsia="cs-CZ"/>
              </w:rPr>
            </w:pPr>
          </w:p>
          <w:p w14:paraId="0E7B4C39"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563</w:t>
            </w:r>
          </w:p>
        </w:tc>
        <w:tc>
          <w:tcPr>
            <w:tcW w:w="1557" w:type="dxa"/>
          </w:tcPr>
          <w:p w14:paraId="0E7B4C3A" w14:textId="77777777" w:rsidR="00514367" w:rsidRPr="005E7725" w:rsidRDefault="00514367" w:rsidP="00514367">
            <w:pPr>
              <w:suppressAutoHyphens/>
              <w:spacing w:line="246" w:lineRule="atLeast"/>
              <w:ind w:right="139"/>
              <w:jc w:val="center"/>
              <w:rPr>
                <w:color w:val="000000"/>
                <w:sz w:val="20"/>
                <w:szCs w:val="20"/>
                <w:lang w:eastAsia="cs-CZ"/>
              </w:rPr>
            </w:pPr>
          </w:p>
          <w:p w14:paraId="0E7B4C3B"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0,7</w:t>
            </w:r>
          </w:p>
        </w:tc>
        <w:tc>
          <w:tcPr>
            <w:tcW w:w="1412" w:type="dxa"/>
          </w:tcPr>
          <w:p w14:paraId="0E7B4C3C" w14:textId="77777777" w:rsidR="00514367" w:rsidRPr="005E7725" w:rsidRDefault="00514367" w:rsidP="00514367">
            <w:pPr>
              <w:suppressAutoHyphens/>
              <w:spacing w:line="246" w:lineRule="atLeast"/>
              <w:ind w:right="139"/>
              <w:jc w:val="center"/>
              <w:rPr>
                <w:color w:val="000000"/>
                <w:sz w:val="20"/>
                <w:szCs w:val="20"/>
                <w:lang w:eastAsia="cs-CZ"/>
              </w:rPr>
            </w:pPr>
          </w:p>
          <w:p w14:paraId="0E7B4C3D"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22</w:t>
            </w:r>
          </w:p>
        </w:tc>
      </w:tr>
      <w:tr w:rsidR="00514367" w14:paraId="0E7B4C45" w14:textId="77777777" w:rsidTr="00514367">
        <w:tc>
          <w:tcPr>
            <w:tcW w:w="1145" w:type="dxa"/>
          </w:tcPr>
          <w:p w14:paraId="0E7B4C3F" w14:textId="77777777" w:rsidR="00514367" w:rsidRPr="005E7725" w:rsidRDefault="00514367" w:rsidP="00514367">
            <w:pPr>
              <w:suppressAutoHyphens/>
              <w:spacing w:line="246" w:lineRule="atLeast"/>
              <w:ind w:right="139"/>
              <w:rPr>
                <w:b/>
                <w:bCs/>
                <w:color w:val="000000"/>
                <w:sz w:val="16"/>
                <w:szCs w:val="16"/>
                <w:lang w:eastAsia="cs-CZ"/>
              </w:rPr>
            </w:pPr>
            <w:r w:rsidRPr="005E7725">
              <w:rPr>
                <w:b/>
                <w:bCs/>
                <w:color w:val="000000"/>
                <w:sz w:val="16"/>
                <w:szCs w:val="16"/>
                <w:lang w:eastAsia="cs-CZ"/>
              </w:rPr>
              <w:t>Trénink</w:t>
            </w:r>
          </w:p>
        </w:tc>
        <w:tc>
          <w:tcPr>
            <w:tcW w:w="1584" w:type="dxa"/>
          </w:tcPr>
          <w:p w14:paraId="0E7B4C40"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500</w:t>
            </w:r>
          </w:p>
        </w:tc>
        <w:tc>
          <w:tcPr>
            <w:tcW w:w="1417" w:type="dxa"/>
          </w:tcPr>
          <w:p w14:paraId="0E7B4C41"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0,7</w:t>
            </w:r>
          </w:p>
        </w:tc>
        <w:tc>
          <w:tcPr>
            <w:tcW w:w="1695" w:type="dxa"/>
          </w:tcPr>
          <w:p w14:paraId="0E7B4C42"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375</w:t>
            </w:r>
          </w:p>
        </w:tc>
        <w:tc>
          <w:tcPr>
            <w:tcW w:w="1557" w:type="dxa"/>
          </w:tcPr>
          <w:p w14:paraId="0E7B4C43"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0,7</w:t>
            </w:r>
          </w:p>
        </w:tc>
        <w:tc>
          <w:tcPr>
            <w:tcW w:w="1412" w:type="dxa"/>
          </w:tcPr>
          <w:p w14:paraId="0E7B4C44"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22</w:t>
            </w:r>
          </w:p>
        </w:tc>
      </w:tr>
      <w:tr w:rsidR="00514367" w14:paraId="0E7B4C4C" w14:textId="77777777" w:rsidTr="00514367">
        <w:tc>
          <w:tcPr>
            <w:tcW w:w="1145" w:type="dxa"/>
          </w:tcPr>
          <w:p w14:paraId="0E7B4C46" w14:textId="77777777" w:rsidR="00514367" w:rsidRPr="005E7725" w:rsidRDefault="00514367" w:rsidP="00514367">
            <w:pPr>
              <w:suppressAutoHyphens/>
              <w:spacing w:line="246" w:lineRule="atLeast"/>
              <w:ind w:right="139"/>
              <w:rPr>
                <w:b/>
                <w:bCs/>
                <w:color w:val="000000"/>
                <w:sz w:val="16"/>
                <w:szCs w:val="16"/>
                <w:lang w:eastAsia="cs-CZ"/>
              </w:rPr>
            </w:pPr>
            <w:r w:rsidRPr="005E7725">
              <w:rPr>
                <w:b/>
                <w:bCs/>
                <w:color w:val="000000"/>
                <w:sz w:val="16"/>
                <w:szCs w:val="16"/>
                <w:lang w:eastAsia="cs-CZ"/>
              </w:rPr>
              <w:t>Rekreace</w:t>
            </w:r>
          </w:p>
        </w:tc>
        <w:tc>
          <w:tcPr>
            <w:tcW w:w="1584" w:type="dxa"/>
          </w:tcPr>
          <w:p w14:paraId="0E7B4C47"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200</w:t>
            </w:r>
          </w:p>
        </w:tc>
        <w:tc>
          <w:tcPr>
            <w:tcW w:w="1417" w:type="dxa"/>
          </w:tcPr>
          <w:p w14:paraId="0E7B4C48"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0,5</w:t>
            </w:r>
          </w:p>
        </w:tc>
        <w:tc>
          <w:tcPr>
            <w:tcW w:w="1695" w:type="dxa"/>
          </w:tcPr>
          <w:p w14:paraId="0E7B4C49"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150</w:t>
            </w:r>
          </w:p>
        </w:tc>
        <w:tc>
          <w:tcPr>
            <w:tcW w:w="1557" w:type="dxa"/>
          </w:tcPr>
          <w:p w14:paraId="0E7B4C4A"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0,5</w:t>
            </w:r>
          </w:p>
        </w:tc>
        <w:tc>
          <w:tcPr>
            <w:tcW w:w="1412" w:type="dxa"/>
          </w:tcPr>
          <w:p w14:paraId="0E7B4C4B"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22</w:t>
            </w:r>
          </w:p>
        </w:tc>
      </w:tr>
    </w:tbl>
    <w:p w14:paraId="0E7B4C4D" w14:textId="77777777" w:rsidR="00514367" w:rsidRDefault="00514367" w:rsidP="00514367">
      <w:pPr>
        <w:suppressAutoHyphens/>
        <w:spacing w:line="246" w:lineRule="atLeast"/>
        <w:ind w:left="116" w:right="139"/>
        <w:rPr>
          <w:color w:val="000000"/>
          <w:sz w:val="22"/>
          <w:szCs w:val="22"/>
          <w:lang w:eastAsia="cs-CZ"/>
        </w:rPr>
      </w:pPr>
    </w:p>
    <w:p w14:paraId="0E7B4C4E" w14:textId="77777777" w:rsidR="00514367" w:rsidRPr="004B2175" w:rsidRDefault="00514367" w:rsidP="00514367">
      <w:pPr>
        <w:suppressAutoHyphens/>
        <w:spacing w:line="246" w:lineRule="atLeast"/>
        <w:ind w:left="116" w:right="139"/>
        <w:rPr>
          <w:color w:val="000000"/>
          <w:sz w:val="22"/>
          <w:szCs w:val="22"/>
          <w:u w:val="single"/>
          <w:lang w:eastAsia="cs-CZ"/>
        </w:rPr>
      </w:pPr>
      <w:r w:rsidRPr="004B2175">
        <w:rPr>
          <w:color w:val="000000"/>
          <w:sz w:val="22"/>
          <w:szCs w:val="22"/>
          <w:u w:val="single"/>
          <w:lang w:eastAsia="cs-CZ"/>
        </w:rPr>
        <w:t>Pro režim “Zápas s televizním přenosem“ navíc platí následující požadavky</w:t>
      </w:r>
    </w:p>
    <w:tbl>
      <w:tblPr>
        <w:tblStyle w:val="Mkatabulky"/>
        <w:tblW w:w="0" w:type="auto"/>
        <w:tblInd w:w="116" w:type="dxa"/>
        <w:tblLook w:val="04A0" w:firstRow="1" w:lastRow="0" w:firstColumn="1" w:lastColumn="0" w:noHBand="0" w:noVBand="1"/>
      </w:tblPr>
      <w:tblGrid>
        <w:gridCol w:w="2202"/>
        <w:gridCol w:w="2203"/>
        <w:gridCol w:w="2202"/>
        <w:gridCol w:w="2203"/>
      </w:tblGrid>
      <w:tr w:rsidR="00514367" w:rsidRPr="007D65B0" w14:paraId="0E7B4C53" w14:textId="77777777" w:rsidTr="00514367">
        <w:tc>
          <w:tcPr>
            <w:tcW w:w="2202" w:type="dxa"/>
          </w:tcPr>
          <w:p w14:paraId="0E7B4C4F" w14:textId="77777777" w:rsidR="00514367" w:rsidRPr="005E7725" w:rsidRDefault="00514367" w:rsidP="00514367">
            <w:pPr>
              <w:suppressAutoHyphens/>
              <w:spacing w:line="246" w:lineRule="atLeast"/>
              <w:ind w:right="139"/>
              <w:rPr>
                <w:b/>
                <w:bCs/>
                <w:color w:val="000000"/>
                <w:sz w:val="16"/>
                <w:szCs w:val="16"/>
                <w:lang w:eastAsia="cs-CZ"/>
              </w:rPr>
            </w:pPr>
            <w:r w:rsidRPr="005E7725">
              <w:rPr>
                <w:b/>
                <w:bCs/>
                <w:color w:val="000000"/>
                <w:sz w:val="16"/>
                <w:szCs w:val="16"/>
                <w:lang w:eastAsia="cs-CZ"/>
              </w:rPr>
              <w:t>Svislá (kamerová) osvětlenost pro hlavní kameru (</w:t>
            </w:r>
            <w:proofErr w:type="spellStart"/>
            <w:r w:rsidRPr="005E7725">
              <w:rPr>
                <w:b/>
                <w:bCs/>
                <w:color w:val="000000"/>
                <w:sz w:val="16"/>
                <w:szCs w:val="16"/>
                <w:lang w:eastAsia="cs-CZ"/>
              </w:rPr>
              <w:t>lx</w:t>
            </w:r>
            <w:proofErr w:type="spellEnd"/>
            <w:r w:rsidRPr="005E7725">
              <w:rPr>
                <w:b/>
                <w:bCs/>
                <w:color w:val="000000"/>
                <w:sz w:val="16"/>
                <w:szCs w:val="16"/>
                <w:lang w:eastAsia="cs-CZ"/>
              </w:rPr>
              <w:t>)</w:t>
            </w:r>
          </w:p>
        </w:tc>
        <w:tc>
          <w:tcPr>
            <w:tcW w:w="2203" w:type="dxa"/>
          </w:tcPr>
          <w:p w14:paraId="0E7B4C50" w14:textId="77777777" w:rsidR="00514367" w:rsidRPr="005E7725" w:rsidRDefault="00514367" w:rsidP="00514367">
            <w:pPr>
              <w:suppressAutoHyphens/>
              <w:spacing w:line="246" w:lineRule="atLeast"/>
              <w:ind w:right="139"/>
              <w:rPr>
                <w:b/>
                <w:bCs/>
                <w:color w:val="000000"/>
                <w:sz w:val="16"/>
                <w:szCs w:val="16"/>
                <w:lang w:eastAsia="cs-CZ"/>
              </w:rPr>
            </w:pPr>
            <w:r w:rsidRPr="005E7725">
              <w:rPr>
                <w:b/>
                <w:bCs/>
                <w:color w:val="000000"/>
                <w:sz w:val="16"/>
                <w:szCs w:val="16"/>
                <w:lang w:eastAsia="cs-CZ"/>
              </w:rPr>
              <w:t>Rovnoměrnost kamerového osvětlení pro hlavní kameru (-)</w:t>
            </w:r>
          </w:p>
        </w:tc>
        <w:tc>
          <w:tcPr>
            <w:tcW w:w="2202" w:type="dxa"/>
          </w:tcPr>
          <w:p w14:paraId="0E7B4C51" w14:textId="77777777" w:rsidR="00514367" w:rsidRPr="005E7725" w:rsidRDefault="00514367" w:rsidP="00514367">
            <w:pPr>
              <w:suppressAutoHyphens/>
              <w:spacing w:line="246" w:lineRule="atLeast"/>
              <w:ind w:right="139"/>
              <w:rPr>
                <w:b/>
                <w:bCs/>
                <w:color w:val="000000"/>
                <w:sz w:val="16"/>
                <w:szCs w:val="16"/>
                <w:lang w:eastAsia="cs-CZ"/>
              </w:rPr>
            </w:pPr>
            <w:r w:rsidRPr="005E7725">
              <w:rPr>
                <w:b/>
                <w:bCs/>
                <w:color w:val="000000"/>
                <w:sz w:val="16"/>
                <w:szCs w:val="16"/>
                <w:lang w:eastAsia="cs-CZ"/>
              </w:rPr>
              <w:t xml:space="preserve">Svislá (kamerová) osvětlenost pro </w:t>
            </w:r>
            <w:r>
              <w:rPr>
                <w:b/>
                <w:bCs/>
                <w:color w:val="000000"/>
                <w:sz w:val="16"/>
                <w:szCs w:val="16"/>
                <w:lang w:eastAsia="cs-CZ"/>
              </w:rPr>
              <w:t xml:space="preserve">rohové </w:t>
            </w:r>
            <w:r w:rsidRPr="005E7725">
              <w:rPr>
                <w:b/>
                <w:bCs/>
                <w:color w:val="000000"/>
                <w:sz w:val="16"/>
                <w:szCs w:val="16"/>
                <w:lang w:eastAsia="cs-CZ"/>
              </w:rPr>
              <w:t>kamer</w:t>
            </w:r>
            <w:r>
              <w:rPr>
                <w:b/>
                <w:bCs/>
                <w:color w:val="000000"/>
                <w:sz w:val="16"/>
                <w:szCs w:val="16"/>
                <w:lang w:eastAsia="cs-CZ"/>
              </w:rPr>
              <w:t>y</w:t>
            </w:r>
            <w:r w:rsidRPr="005E7725">
              <w:rPr>
                <w:b/>
                <w:bCs/>
                <w:color w:val="000000"/>
                <w:sz w:val="16"/>
                <w:szCs w:val="16"/>
                <w:lang w:eastAsia="cs-CZ"/>
              </w:rPr>
              <w:t xml:space="preserve"> (</w:t>
            </w:r>
            <w:proofErr w:type="spellStart"/>
            <w:r w:rsidRPr="005E7725">
              <w:rPr>
                <w:b/>
                <w:bCs/>
                <w:color w:val="000000"/>
                <w:sz w:val="16"/>
                <w:szCs w:val="16"/>
                <w:lang w:eastAsia="cs-CZ"/>
              </w:rPr>
              <w:t>lx</w:t>
            </w:r>
            <w:proofErr w:type="spellEnd"/>
            <w:r w:rsidRPr="005E7725">
              <w:rPr>
                <w:b/>
                <w:bCs/>
                <w:color w:val="000000"/>
                <w:sz w:val="16"/>
                <w:szCs w:val="16"/>
                <w:lang w:eastAsia="cs-CZ"/>
              </w:rPr>
              <w:t>)</w:t>
            </w:r>
          </w:p>
        </w:tc>
        <w:tc>
          <w:tcPr>
            <w:tcW w:w="2203" w:type="dxa"/>
          </w:tcPr>
          <w:p w14:paraId="0E7B4C52" w14:textId="77777777" w:rsidR="00514367" w:rsidRPr="005E7725" w:rsidRDefault="00514367" w:rsidP="00514367">
            <w:pPr>
              <w:suppressAutoHyphens/>
              <w:spacing w:line="246" w:lineRule="atLeast"/>
              <w:ind w:right="139"/>
              <w:rPr>
                <w:b/>
                <w:bCs/>
                <w:color w:val="000000"/>
                <w:sz w:val="16"/>
                <w:szCs w:val="16"/>
                <w:lang w:eastAsia="cs-CZ"/>
              </w:rPr>
            </w:pPr>
            <w:r w:rsidRPr="005E7725">
              <w:rPr>
                <w:b/>
                <w:bCs/>
                <w:color w:val="000000"/>
                <w:sz w:val="16"/>
                <w:szCs w:val="16"/>
                <w:lang w:eastAsia="cs-CZ"/>
              </w:rPr>
              <w:t xml:space="preserve">Rovnoměrnost kamerového osvětlení pro </w:t>
            </w:r>
            <w:r>
              <w:rPr>
                <w:b/>
                <w:bCs/>
                <w:color w:val="000000"/>
                <w:sz w:val="16"/>
                <w:szCs w:val="16"/>
                <w:lang w:eastAsia="cs-CZ"/>
              </w:rPr>
              <w:t xml:space="preserve">rohové </w:t>
            </w:r>
            <w:r w:rsidRPr="005E7725">
              <w:rPr>
                <w:b/>
                <w:bCs/>
                <w:color w:val="000000"/>
                <w:sz w:val="16"/>
                <w:szCs w:val="16"/>
                <w:lang w:eastAsia="cs-CZ"/>
              </w:rPr>
              <w:t>kamer</w:t>
            </w:r>
            <w:r>
              <w:rPr>
                <w:b/>
                <w:bCs/>
                <w:color w:val="000000"/>
                <w:sz w:val="16"/>
                <w:szCs w:val="16"/>
                <w:lang w:eastAsia="cs-CZ"/>
              </w:rPr>
              <w:t>y</w:t>
            </w:r>
            <w:r w:rsidRPr="005E7725">
              <w:rPr>
                <w:b/>
                <w:bCs/>
                <w:color w:val="000000"/>
                <w:sz w:val="16"/>
                <w:szCs w:val="16"/>
                <w:lang w:eastAsia="cs-CZ"/>
              </w:rPr>
              <w:t xml:space="preserve"> (-)</w:t>
            </w:r>
          </w:p>
        </w:tc>
      </w:tr>
      <w:tr w:rsidR="00514367" w:rsidRPr="007D65B0" w14:paraId="0E7B4C58" w14:textId="77777777" w:rsidTr="00514367">
        <w:tc>
          <w:tcPr>
            <w:tcW w:w="2202" w:type="dxa"/>
          </w:tcPr>
          <w:p w14:paraId="0E7B4C54"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750</w:t>
            </w:r>
          </w:p>
        </w:tc>
        <w:tc>
          <w:tcPr>
            <w:tcW w:w="2203" w:type="dxa"/>
          </w:tcPr>
          <w:p w14:paraId="0E7B4C55"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0,4</w:t>
            </w:r>
          </w:p>
        </w:tc>
        <w:tc>
          <w:tcPr>
            <w:tcW w:w="2202" w:type="dxa"/>
          </w:tcPr>
          <w:p w14:paraId="0E7B4C56"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500</w:t>
            </w:r>
          </w:p>
        </w:tc>
        <w:tc>
          <w:tcPr>
            <w:tcW w:w="2203" w:type="dxa"/>
          </w:tcPr>
          <w:p w14:paraId="0E7B4C57" w14:textId="77777777" w:rsidR="00514367" w:rsidRPr="005E7725" w:rsidRDefault="00514367" w:rsidP="00514367">
            <w:pPr>
              <w:suppressAutoHyphens/>
              <w:spacing w:line="246" w:lineRule="atLeast"/>
              <w:ind w:right="139"/>
              <w:jc w:val="center"/>
              <w:rPr>
                <w:color w:val="000000"/>
                <w:sz w:val="20"/>
                <w:szCs w:val="20"/>
                <w:lang w:eastAsia="cs-CZ"/>
              </w:rPr>
            </w:pPr>
            <w:r w:rsidRPr="005E7725">
              <w:rPr>
                <w:color w:val="000000"/>
                <w:sz w:val="20"/>
                <w:szCs w:val="20"/>
                <w:lang w:eastAsia="cs-CZ"/>
              </w:rPr>
              <w:t>0,4</w:t>
            </w:r>
          </w:p>
        </w:tc>
      </w:tr>
    </w:tbl>
    <w:p w14:paraId="1A689BFB" w14:textId="77777777" w:rsidR="0038744F" w:rsidRDefault="0038744F" w:rsidP="00CF477C">
      <w:pPr>
        <w:pStyle w:val="normln0"/>
        <w:spacing w:line="360" w:lineRule="auto"/>
        <w:ind w:left="720"/>
        <w:rPr>
          <w:rFonts w:ascii="Arial" w:hAnsi="Arial"/>
          <w:sz w:val="19"/>
          <w:szCs w:val="24"/>
          <w:lang w:eastAsia="en-US"/>
        </w:rPr>
      </w:pPr>
    </w:p>
    <w:p w14:paraId="0E7B4C59" w14:textId="10474D2E"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Pozice hlavní a rohových kamer je patrná z přiloženého výkresu.</w:t>
      </w:r>
    </w:p>
    <w:p w14:paraId="0E7B4C5A" w14:textId="77777777" w:rsidR="00514367" w:rsidRPr="00CF477C" w:rsidRDefault="00514367" w:rsidP="00CF477C">
      <w:pPr>
        <w:pStyle w:val="normln0"/>
        <w:spacing w:line="360" w:lineRule="auto"/>
        <w:ind w:left="720"/>
        <w:rPr>
          <w:rFonts w:ascii="Arial" w:hAnsi="Arial"/>
          <w:sz w:val="19"/>
          <w:szCs w:val="24"/>
          <w:lang w:eastAsia="en-US"/>
        </w:rPr>
      </w:pPr>
    </w:p>
    <w:p w14:paraId="0E7B4C5B" w14:textId="77777777" w:rsidR="00514367" w:rsidRPr="00CF477C" w:rsidRDefault="00514367" w:rsidP="00CF477C">
      <w:pPr>
        <w:pStyle w:val="normln0"/>
        <w:spacing w:line="360" w:lineRule="auto"/>
        <w:ind w:left="720"/>
        <w:rPr>
          <w:rFonts w:ascii="Arial" w:hAnsi="Arial"/>
          <w:b/>
          <w:sz w:val="19"/>
          <w:szCs w:val="24"/>
          <w:lang w:eastAsia="en-US"/>
        </w:rPr>
      </w:pPr>
      <w:r w:rsidRPr="00CF477C">
        <w:rPr>
          <w:rFonts w:ascii="Arial" w:hAnsi="Arial"/>
          <w:b/>
          <w:sz w:val="19"/>
          <w:szCs w:val="24"/>
          <w:lang w:eastAsia="en-US"/>
        </w:rPr>
        <w:t>Další požadavky na osvětlovací soustavu</w:t>
      </w:r>
    </w:p>
    <w:p w14:paraId="0E7B4C5C"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horizontální osvětlenost komunikace (na podlaze) za prostorem pro diváky (ochoz): 100 </w:t>
      </w:r>
      <w:proofErr w:type="spellStart"/>
      <w:r w:rsidRPr="00CF477C">
        <w:rPr>
          <w:rFonts w:ascii="Arial" w:hAnsi="Arial"/>
          <w:sz w:val="19"/>
          <w:szCs w:val="24"/>
          <w:lang w:eastAsia="en-US"/>
        </w:rPr>
        <w:t>lx</w:t>
      </w:r>
      <w:proofErr w:type="spellEnd"/>
      <w:r w:rsidRPr="00CF477C">
        <w:rPr>
          <w:rFonts w:ascii="Arial" w:hAnsi="Arial"/>
          <w:sz w:val="19"/>
          <w:szCs w:val="24"/>
          <w:lang w:eastAsia="en-US"/>
        </w:rPr>
        <w:t xml:space="preserve"> s rovnoměrností osvětlení 0,4 (bez přispění svítidel pro osvětlení hrací plochy)</w:t>
      </w:r>
    </w:p>
    <w:p w14:paraId="0E7B4C5D"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horizontální osvětlenost prostoru pro diváky (tribuny): 200 </w:t>
      </w:r>
      <w:proofErr w:type="spellStart"/>
      <w:r w:rsidRPr="00CF477C">
        <w:rPr>
          <w:rFonts w:ascii="Arial" w:hAnsi="Arial"/>
          <w:sz w:val="19"/>
          <w:szCs w:val="24"/>
          <w:lang w:eastAsia="en-US"/>
        </w:rPr>
        <w:t>lx</w:t>
      </w:r>
      <w:proofErr w:type="spellEnd"/>
      <w:r w:rsidRPr="00CF477C">
        <w:rPr>
          <w:rFonts w:ascii="Arial" w:hAnsi="Arial"/>
          <w:sz w:val="19"/>
          <w:szCs w:val="24"/>
          <w:lang w:eastAsia="en-US"/>
        </w:rPr>
        <w:t xml:space="preserve"> s rovnoměrností osvětlení 0,4 při spuštěném režimu “Zápas bez televizního přenosu“</w:t>
      </w:r>
    </w:p>
    <w:p w14:paraId="0E7B4C5F" w14:textId="77777777" w:rsidR="00514367" w:rsidRPr="00CF477C" w:rsidRDefault="00514367" w:rsidP="00CF477C">
      <w:pPr>
        <w:pStyle w:val="normln0"/>
        <w:spacing w:line="360" w:lineRule="auto"/>
        <w:ind w:left="720"/>
        <w:rPr>
          <w:rFonts w:ascii="Arial" w:hAnsi="Arial"/>
          <w:b/>
          <w:sz w:val="19"/>
          <w:szCs w:val="24"/>
          <w:lang w:eastAsia="en-US"/>
        </w:rPr>
      </w:pPr>
      <w:r w:rsidRPr="00CF477C">
        <w:rPr>
          <w:rFonts w:ascii="Arial" w:hAnsi="Arial"/>
          <w:b/>
          <w:sz w:val="19"/>
          <w:szCs w:val="24"/>
          <w:lang w:eastAsia="en-US"/>
        </w:rPr>
        <w:t>Požadavky na nouzové osvětlení dle ČSN EN 1838</w:t>
      </w:r>
    </w:p>
    <w:p w14:paraId="0E7B4C60"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pokračování ve sportovní činnosti – není požadováno</w:t>
      </w:r>
    </w:p>
    <w:p w14:paraId="0E7B4C61"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bezpečnostní osvětlení pro účastníky – není požadováno</w:t>
      </w:r>
    </w:p>
    <w:p w14:paraId="0E7B4C62"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nouzové proti-panické osvětlení – minimální horizontální osvětlenost na podlaze 1 </w:t>
      </w:r>
      <w:proofErr w:type="spellStart"/>
      <w:r w:rsidRPr="00CF477C">
        <w:rPr>
          <w:rFonts w:ascii="Arial" w:hAnsi="Arial"/>
          <w:sz w:val="19"/>
          <w:szCs w:val="24"/>
          <w:lang w:eastAsia="en-US"/>
        </w:rPr>
        <w:t>lx</w:t>
      </w:r>
      <w:proofErr w:type="spellEnd"/>
      <w:r w:rsidRPr="00CF477C">
        <w:rPr>
          <w:rFonts w:ascii="Arial" w:hAnsi="Arial"/>
          <w:sz w:val="19"/>
          <w:szCs w:val="24"/>
          <w:lang w:eastAsia="en-US"/>
        </w:rPr>
        <w:t xml:space="preserve"> s rovnoměrností min/max 0,025 – platí pro celý prostor sportovní haly (hrací plocha, tribuny a ochozy).</w:t>
      </w:r>
    </w:p>
    <w:p w14:paraId="0E7B4C63"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bezpečnostní značky budou umístěny nad únikovými východy</w:t>
      </w:r>
    </w:p>
    <w:p w14:paraId="0E7B4C64" w14:textId="26E3A127" w:rsidR="0091715B" w:rsidRDefault="002E433E" w:rsidP="00CF477C">
      <w:pPr>
        <w:pStyle w:val="normln0"/>
        <w:spacing w:line="360" w:lineRule="auto"/>
        <w:ind w:left="720"/>
        <w:rPr>
          <w:rFonts w:ascii="Arial" w:hAnsi="Arial"/>
          <w:sz w:val="19"/>
          <w:szCs w:val="24"/>
          <w:lang w:eastAsia="en-US"/>
        </w:rPr>
      </w:pPr>
      <w:r>
        <w:rPr>
          <w:rFonts w:ascii="Arial" w:hAnsi="Arial"/>
          <w:sz w:val="19"/>
          <w:szCs w:val="24"/>
          <w:lang w:eastAsia="en-US"/>
        </w:rPr>
        <w:t xml:space="preserve">Tento projekt </w:t>
      </w:r>
      <w:r w:rsidR="008E55F4">
        <w:rPr>
          <w:rFonts w:ascii="Arial" w:hAnsi="Arial"/>
          <w:sz w:val="19"/>
          <w:szCs w:val="24"/>
          <w:lang w:eastAsia="en-US"/>
        </w:rPr>
        <w:t>řeší pouze výměnu stávajících svítidel nouzového osvětlení ve stávajících</w:t>
      </w:r>
      <w:r w:rsidR="00433BCA">
        <w:rPr>
          <w:rFonts w:ascii="Arial" w:hAnsi="Arial"/>
          <w:sz w:val="19"/>
          <w:szCs w:val="24"/>
          <w:lang w:eastAsia="en-US"/>
        </w:rPr>
        <w:t xml:space="preserve"> pozicích</w:t>
      </w:r>
      <w:r w:rsidR="008E55F4">
        <w:rPr>
          <w:rFonts w:ascii="Arial" w:hAnsi="Arial"/>
          <w:sz w:val="19"/>
          <w:szCs w:val="24"/>
          <w:lang w:eastAsia="en-US"/>
        </w:rPr>
        <w:t xml:space="preserve">, </w:t>
      </w:r>
      <w:r w:rsidR="00433BCA">
        <w:rPr>
          <w:rFonts w:ascii="Arial" w:hAnsi="Arial"/>
          <w:sz w:val="19"/>
          <w:szCs w:val="24"/>
          <w:lang w:eastAsia="en-US"/>
        </w:rPr>
        <w:t xml:space="preserve">projekt </w:t>
      </w:r>
      <w:r w:rsidR="008E55F4">
        <w:rPr>
          <w:rFonts w:ascii="Arial" w:hAnsi="Arial"/>
          <w:sz w:val="19"/>
          <w:szCs w:val="24"/>
          <w:lang w:eastAsia="en-US"/>
        </w:rPr>
        <w:t xml:space="preserve">neřeší </w:t>
      </w:r>
      <w:r w:rsidR="00CD166A">
        <w:rPr>
          <w:rFonts w:ascii="Arial" w:hAnsi="Arial"/>
          <w:sz w:val="19"/>
          <w:szCs w:val="24"/>
          <w:lang w:eastAsia="en-US"/>
        </w:rPr>
        <w:t>případn</w:t>
      </w:r>
      <w:r w:rsidR="00937CC6">
        <w:rPr>
          <w:rFonts w:ascii="Arial" w:hAnsi="Arial"/>
          <w:sz w:val="19"/>
          <w:szCs w:val="24"/>
          <w:lang w:eastAsia="en-US"/>
        </w:rPr>
        <w:t>á doplnění s</w:t>
      </w:r>
      <w:r w:rsidR="00602FEF">
        <w:rPr>
          <w:rFonts w:ascii="Arial" w:hAnsi="Arial"/>
          <w:sz w:val="19"/>
          <w:szCs w:val="24"/>
          <w:lang w:eastAsia="en-US"/>
        </w:rPr>
        <w:t xml:space="preserve">vítidel </w:t>
      </w:r>
      <w:r w:rsidR="00017F75">
        <w:rPr>
          <w:rFonts w:ascii="Arial" w:hAnsi="Arial"/>
          <w:sz w:val="19"/>
          <w:szCs w:val="24"/>
          <w:lang w:eastAsia="en-US"/>
        </w:rPr>
        <w:t xml:space="preserve">dle požadavků norem, ani </w:t>
      </w:r>
      <w:r w:rsidR="003D6831">
        <w:rPr>
          <w:rFonts w:ascii="Arial" w:hAnsi="Arial"/>
          <w:sz w:val="19"/>
          <w:szCs w:val="24"/>
          <w:lang w:eastAsia="en-US"/>
        </w:rPr>
        <w:t>novou kabeláž a její uložení</w:t>
      </w:r>
      <w:r w:rsidR="003E2BF2">
        <w:rPr>
          <w:rFonts w:ascii="Arial" w:hAnsi="Arial"/>
          <w:sz w:val="19"/>
          <w:szCs w:val="24"/>
          <w:lang w:eastAsia="en-US"/>
        </w:rPr>
        <w:t>.</w:t>
      </w:r>
    </w:p>
    <w:p w14:paraId="4629E6AB" w14:textId="77777777" w:rsidR="003E2BF2" w:rsidRPr="00CF477C" w:rsidRDefault="003E2BF2" w:rsidP="00CF477C">
      <w:pPr>
        <w:pStyle w:val="normln0"/>
        <w:spacing w:line="360" w:lineRule="auto"/>
        <w:ind w:left="720"/>
        <w:rPr>
          <w:rFonts w:ascii="Arial" w:hAnsi="Arial"/>
          <w:sz w:val="19"/>
          <w:szCs w:val="24"/>
          <w:lang w:eastAsia="en-US"/>
        </w:rPr>
      </w:pPr>
    </w:p>
    <w:p w14:paraId="0E7B4C65" w14:textId="77777777" w:rsidR="00514367" w:rsidRPr="00CF477C" w:rsidRDefault="00514367" w:rsidP="00CF477C">
      <w:pPr>
        <w:pStyle w:val="normln0"/>
        <w:spacing w:line="360" w:lineRule="auto"/>
        <w:ind w:left="720"/>
        <w:rPr>
          <w:rFonts w:ascii="Arial" w:hAnsi="Arial"/>
          <w:b/>
          <w:sz w:val="19"/>
          <w:szCs w:val="24"/>
          <w:lang w:eastAsia="en-US"/>
        </w:rPr>
      </w:pPr>
      <w:r w:rsidRPr="00CF477C">
        <w:rPr>
          <w:rFonts w:ascii="Arial" w:hAnsi="Arial"/>
          <w:b/>
          <w:sz w:val="19"/>
          <w:szCs w:val="24"/>
          <w:lang w:eastAsia="en-US"/>
        </w:rPr>
        <w:t>Výpočet osvětlení a kontrola správnosti</w:t>
      </w:r>
    </w:p>
    <w:p w14:paraId="0E7B4C66"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 xml:space="preserve">Výpočet bude proveden v programu </w:t>
      </w:r>
      <w:proofErr w:type="spellStart"/>
      <w:r w:rsidRPr="00CF477C">
        <w:rPr>
          <w:rFonts w:ascii="Arial" w:hAnsi="Arial"/>
          <w:sz w:val="19"/>
          <w:szCs w:val="24"/>
          <w:lang w:eastAsia="en-US"/>
        </w:rPr>
        <w:t>Dialux</w:t>
      </w:r>
      <w:proofErr w:type="spellEnd"/>
      <w:r w:rsidRPr="00CF477C">
        <w:rPr>
          <w:rFonts w:ascii="Arial" w:hAnsi="Arial"/>
          <w:sz w:val="19"/>
          <w:szCs w:val="24"/>
          <w:lang w:eastAsia="en-US"/>
        </w:rPr>
        <w:t xml:space="preserve">. Jednotlivé požadované režimy (4 × provozní režim + 1 × osvětlení ochozu + 1 × nouzový režim) budou vypočítány pomocí scén. Z výpočtu budou jednoznačně </w:t>
      </w:r>
      <w:r w:rsidRPr="00CF477C">
        <w:rPr>
          <w:rFonts w:ascii="Arial" w:hAnsi="Arial"/>
          <w:sz w:val="19"/>
          <w:szCs w:val="24"/>
          <w:lang w:eastAsia="en-US"/>
        </w:rPr>
        <w:lastRenderedPageBreak/>
        <w:t>patrné všechny požadované parametry osvětlenosti (horizontální i vertikální), rovnoměrnosti osvětlení a činitele zábrany oslnění UGR. Výpočet bude proveden pro celou halu najednou včetně tribun a ochozů dle přiloženého výkresu.</w:t>
      </w:r>
    </w:p>
    <w:p w14:paraId="0E7B4C67" w14:textId="77777777" w:rsidR="00514367" w:rsidRPr="00CF477C" w:rsidRDefault="00514367" w:rsidP="00CF477C">
      <w:pPr>
        <w:pStyle w:val="normln0"/>
        <w:spacing w:line="360" w:lineRule="auto"/>
        <w:ind w:left="720"/>
        <w:rPr>
          <w:rFonts w:ascii="Arial" w:hAnsi="Arial"/>
          <w:sz w:val="19"/>
          <w:szCs w:val="24"/>
          <w:lang w:eastAsia="en-US"/>
        </w:rPr>
      </w:pPr>
    </w:p>
    <w:p w14:paraId="0E7B4C68" w14:textId="77777777" w:rsidR="00514367" w:rsidRPr="00CF477C" w:rsidRDefault="00514367" w:rsidP="00CF477C">
      <w:pPr>
        <w:pStyle w:val="normln0"/>
        <w:spacing w:line="360" w:lineRule="auto"/>
        <w:ind w:left="720"/>
        <w:rPr>
          <w:rFonts w:ascii="Arial" w:hAnsi="Arial"/>
          <w:b/>
          <w:sz w:val="19"/>
          <w:szCs w:val="24"/>
          <w:lang w:eastAsia="en-US"/>
        </w:rPr>
      </w:pPr>
      <w:r w:rsidRPr="00CF477C">
        <w:rPr>
          <w:rFonts w:ascii="Arial" w:hAnsi="Arial"/>
          <w:b/>
          <w:sz w:val="19"/>
          <w:szCs w:val="24"/>
          <w:lang w:eastAsia="en-US"/>
        </w:rPr>
        <w:t>Parametry výpočtu</w:t>
      </w:r>
    </w:p>
    <w:p w14:paraId="0E7B4C69"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činitel odrazu stropu: 60 %</w:t>
      </w:r>
    </w:p>
    <w:p w14:paraId="0E7B4C6A"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činitel odrazu stěn: 40 %</w:t>
      </w:r>
    </w:p>
    <w:p w14:paraId="0E7B4C6B"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činitel odrazu podlahy: 30 %</w:t>
      </w:r>
    </w:p>
    <w:p w14:paraId="0E7B4C6C"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udržovací činitel: výpočtem – prostředí běžné, interval údržby ploch místnosti 2 roky, interval údržby povrchů svítidel 1 rok, okamžitá výměna nefunkčních svítidel</w:t>
      </w:r>
    </w:p>
    <w:p w14:paraId="0E7B4C6D"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výška výpočetní roviny horizontální osvětlenosti hrací plochy: 0,02 m</w:t>
      </w:r>
    </w:p>
    <w:p w14:paraId="0E7B4C6E"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výška výpočetní roviny kamerové osvětlenosti: 1 m</w:t>
      </w:r>
    </w:p>
    <w:p w14:paraId="0E7B4C6F"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výška výpočetní roviny horizontální osvětlenosti ochozu: 0,02 m nad podlahou ochozu</w:t>
      </w:r>
    </w:p>
    <w:p w14:paraId="0E7B4C70"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výška výpočetní roviny horizontální osvětlenosti tribuny: 0,02 m nad tribunou (počítat pomocí šikmé roviny)</w:t>
      </w:r>
    </w:p>
    <w:p w14:paraId="0E7B4C71"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výška haly: 8 m</w:t>
      </w:r>
    </w:p>
    <w:p w14:paraId="0E7B4C72"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rastr výpočtových bodů pro hrací plochu: PA – 15×7, TA – 15×9 (dle ČSN EN 12 193)</w:t>
      </w:r>
    </w:p>
    <w:p w14:paraId="0E7B4C73"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rozteč bodů ve výpočetních rovinách pro kamerovou osvětlenost nesmí být vetší než 1 m</w:t>
      </w:r>
    </w:p>
    <w:p w14:paraId="0E7B4C74"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rozteč bodů ve výpočetních rovinách pro ochozy a tribuny nesmí být vetší než 1 m</w:t>
      </w:r>
    </w:p>
    <w:p w14:paraId="0E7B4C75"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UGR vypočteno na hrací ploše ve 4 vodorovných směrech pohledu (0°, 90°, 180°, 270°) ve výšce 1,7 m nad podlahou</w:t>
      </w:r>
    </w:p>
    <w:p w14:paraId="0E7B4C76"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rozteč bodů ve výpočetních rovinách UGR nesmí být vetší než 1 m</w:t>
      </w:r>
    </w:p>
    <w:p w14:paraId="0E7B4C77" w14:textId="05AA1310" w:rsidR="00CF477C" w:rsidRDefault="00CF477C" w:rsidP="00CF477C">
      <w:pPr>
        <w:pStyle w:val="normln0"/>
        <w:spacing w:line="360" w:lineRule="auto"/>
        <w:ind w:left="720"/>
        <w:rPr>
          <w:rFonts w:ascii="Arial" w:hAnsi="Arial"/>
          <w:b/>
          <w:sz w:val="19"/>
          <w:szCs w:val="24"/>
          <w:lang w:eastAsia="en-US"/>
        </w:rPr>
      </w:pPr>
    </w:p>
    <w:p w14:paraId="68AA01A3" w14:textId="5D0DA63A" w:rsidR="00937CC6" w:rsidRDefault="00937CC6" w:rsidP="00CF477C">
      <w:pPr>
        <w:pStyle w:val="normln0"/>
        <w:spacing w:line="360" w:lineRule="auto"/>
        <w:ind w:left="720"/>
        <w:rPr>
          <w:rFonts w:ascii="Arial" w:hAnsi="Arial"/>
          <w:b/>
          <w:sz w:val="19"/>
          <w:szCs w:val="24"/>
          <w:lang w:eastAsia="en-US"/>
        </w:rPr>
      </w:pPr>
    </w:p>
    <w:p w14:paraId="6FAEDB01" w14:textId="77777777" w:rsidR="00937CC6" w:rsidRDefault="00937CC6" w:rsidP="00CF477C">
      <w:pPr>
        <w:pStyle w:val="normln0"/>
        <w:spacing w:line="360" w:lineRule="auto"/>
        <w:ind w:left="720"/>
        <w:rPr>
          <w:rFonts w:ascii="Arial" w:hAnsi="Arial"/>
          <w:b/>
          <w:sz w:val="19"/>
          <w:szCs w:val="24"/>
          <w:lang w:eastAsia="en-US"/>
        </w:rPr>
      </w:pPr>
    </w:p>
    <w:p w14:paraId="0E7B4C78" w14:textId="77777777" w:rsidR="00514367" w:rsidRPr="00CF477C" w:rsidRDefault="00514367" w:rsidP="00CF477C">
      <w:pPr>
        <w:pStyle w:val="normln0"/>
        <w:spacing w:line="360" w:lineRule="auto"/>
        <w:ind w:left="720"/>
        <w:rPr>
          <w:rFonts w:ascii="Arial" w:hAnsi="Arial"/>
          <w:b/>
          <w:sz w:val="19"/>
          <w:szCs w:val="24"/>
          <w:lang w:eastAsia="en-US"/>
        </w:rPr>
      </w:pPr>
      <w:r w:rsidRPr="00CF477C">
        <w:rPr>
          <w:rFonts w:ascii="Arial" w:hAnsi="Arial"/>
          <w:b/>
          <w:sz w:val="19"/>
          <w:szCs w:val="24"/>
          <w:lang w:eastAsia="en-US"/>
        </w:rPr>
        <w:t>Požadavky na světelné zdroje a svítidla</w:t>
      </w:r>
    </w:p>
    <w:p w14:paraId="0E7B4C79" w14:textId="77777777" w:rsidR="00514367" w:rsidRPr="00CF477C" w:rsidRDefault="00514367" w:rsidP="00CF477C">
      <w:pPr>
        <w:pStyle w:val="normln0"/>
        <w:spacing w:line="360" w:lineRule="auto"/>
        <w:ind w:left="720"/>
        <w:rPr>
          <w:rFonts w:ascii="Arial" w:hAnsi="Arial"/>
          <w:b/>
          <w:sz w:val="19"/>
          <w:szCs w:val="24"/>
          <w:lang w:eastAsia="en-US"/>
        </w:rPr>
      </w:pPr>
      <w:r w:rsidRPr="00CF477C">
        <w:rPr>
          <w:rFonts w:ascii="Arial" w:hAnsi="Arial"/>
          <w:b/>
          <w:sz w:val="19"/>
          <w:szCs w:val="24"/>
          <w:lang w:eastAsia="en-US"/>
        </w:rPr>
        <w:t>Svítidla pro osvětlení hrací plochy</w:t>
      </w:r>
    </w:p>
    <w:p w14:paraId="0E7B4C7A"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svítidla využívající technologii LED s pasivním chlazením</w:t>
      </w:r>
    </w:p>
    <w:p w14:paraId="0E7B4C7B"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svítidlo vhodné pro sportovní haly – odolné proti úderu míčem</w:t>
      </w:r>
    </w:p>
    <w:p w14:paraId="0E7B4C7C"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parametry stárnutí LED: L85B50 po 50000 hod. při Ta = 35 °C (pro celé svítidlo, ne pouze LED čipy)</w:t>
      </w:r>
    </w:p>
    <w:p w14:paraId="0E7B4C7D"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 xml:space="preserve">měrný světelný výkon: alespoň 130 </w:t>
      </w:r>
      <w:proofErr w:type="spellStart"/>
      <w:r w:rsidRPr="00CF477C">
        <w:rPr>
          <w:rFonts w:ascii="Arial" w:hAnsi="Arial"/>
          <w:sz w:val="19"/>
          <w:szCs w:val="24"/>
          <w:lang w:eastAsia="en-US"/>
        </w:rPr>
        <w:t>lm</w:t>
      </w:r>
      <w:proofErr w:type="spellEnd"/>
      <w:r w:rsidRPr="00CF477C">
        <w:rPr>
          <w:rFonts w:ascii="Arial" w:hAnsi="Arial"/>
          <w:sz w:val="19"/>
          <w:szCs w:val="24"/>
          <w:lang w:eastAsia="en-US"/>
        </w:rPr>
        <w:t>/W</w:t>
      </w:r>
    </w:p>
    <w:p w14:paraId="0E7B4C7E"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náhradní teplota chromatičnosti TC: 4000 K</w:t>
      </w:r>
    </w:p>
    <w:p w14:paraId="0E7B4C7F"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barevná stálost: 3 SDCM</w:t>
      </w:r>
    </w:p>
    <w:p w14:paraId="0E7B4C80"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 xml:space="preserve">index barevného podání </w:t>
      </w:r>
      <w:proofErr w:type="spellStart"/>
      <w:r w:rsidRPr="00CF477C">
        <w:rPr>
          <w:rFonts w:ascii="Arial" w:hAnsi="Arial"/>
          <w:sz w:val="19"/>
          <w:szCs w:val="24"/>
          <w:lang w:eastAsia="en-US"/>
        </w:rPr>
        <w:t>Ra</w:t>
      </w:r>
      <w:proofErr w:type="spellEnd"/>
      <w:r w:rsidRPr="00CF477C">
        <w:rPr>
          <w:rFonts w:ascii="Arial" w:hAnsi="Arial"/>
          <w:sz w:val="19"/>
          <w:szCs w:val="24"/>
          <w:lang w:eastAsia="en-US"/>
        </w:rPr>
        <w:t>: 80 nebo vyšší</w:t>
      </w:r>
    </w:p>
    <w:p w14:paraId="0E7B4C81"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tvar svítidla hranatý (plochý kvádr), vyzařování z celé spodní plochy svítidla</w:t>
      </w:r>
    </w:p>
    <w:p w14:paraId="0E7B4C82"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maximální šířka svítidla 430 mm</w:t>
      </w:r>
    </w:p>
    <w:p w14:paraId="0E7B4C83"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montáž svítidla přisazená</w:t>
      </w:r>
    </w:p>
    <w:p w14:paraId="0E7B4C84"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lastRenderedPageBreak/>
        <w:t>certifikace svítidel ENEC</w:t>
      </w:r>
    </w:p>
    <w:p w14:paraId="0E7B4C85" w14:textId="77777777" w:rsidR="00CF477C" w:rsidRDefault="00CF477C" w:rsidP="00CF477C">
      <w:pPr>
        <w:pStyle w:val="normln0"/>
        <w:spacing w:line="360" w:lineRule="auto"/>
        <w:ind w:left="720"/>
        <w:rPr>
          <w:rFonts w:ascii="Arial" w:hAnsi="Arial"/>
          <w:b/>
          <w:sz w:val="19"/>
          <w:szCs w:val="24"/>
          <w:lang w:eastAsia="en-US"/>
        </w:rPr>
      </w:pPr>
    </w:p>
    <w:p w14:paraId="0E7B4C86" w14:textId="77777777" w:rsidR="00514367" w:rsidRPr="00CF477C" w:rsidRDefault="00514367" w:rsidP="00CF477C">
      <w:pPr>
        <w:pStyle w:val="normln0"/>
        <w:spacing w:line="360" w:lineRule="auto"/>
        <w:ind w:left="720"/>
        <w:rPr>
          <w:rFonts w:ascii="Arial" w:hAnsi="Arial"/>
          <w:b/>
          <w:sz w:val="19"/>
          <w:szCs w:val="24"/>
          <w:lang w:eastAsia="en-US"/>
        </w:rPr>
      </w:pPr>
      <w:r w:rsidRPr="00CF477C">
        <w:rPr>
          <w:rFonts w:ascii="Arial" w:hAnsi="Arial"/>
          <w:b/>
          <w:sz w:val="19"/>
          <w:szCs w:val="24"/>
          <w:lang w:eastAsia="en-US"/>
        </w:rPr>
        <w:t>Přídavná svítidla pro televizní přenosy</w:t>
      </w:r>
    </w:p>
    <w:p w14:paraId="0E7B4C87"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svítidla využívající technologii LED s pasivním chlazením</w:t>
      </w:r>
    </w:p>
    <w:p w14:paraId="0E7B4C88"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svítidlo vhodné pro sportovní haly – odolné proti úderu míčem</w:t>
      </w:r>
    </w:p>
    <w:p w14:paraId="0E7B4C89"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parametry stárnutí LED: L85B50 po 50000 hod. při Ta = 35 °C (pro celé svítidlo, ne pouze LED čipy)</w:t>
      </w:r>
    </w:p>
    <w:p w14:paraId="0E7B4C8A"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 xml:space="preserve">měrný světelný výkon: alespoň 130 </w:t>
      </w:r>
      <w:proofErr w:type="spellStart"/>
      <w:r w:rsidRPr="00CF477C">
        <w:rPr>
          <w:rFonts w:ascii="Arial" w:hAnsi="Arial"/>
          <w:sz w:val="19"/>
          <w:szCs w:val="24"/>
          <w:lang w:eastAsia="en-US"/>
        </w:rPr>
        <w:t>lm</w:t>
      </w:r>
      <w:proofErr w:type="spellEnd"/>
      <w:r w:rsidRPr="00CF477C">
        <w:rPr>
          <w:rFonts w:ascii="Arial" w:hAnsi="Arial"/>
          <w:sz w:val="19"/>
          <w:szCs w:val="24"/>
          <w:lang w:eastAsia="en-US"/>
        </w:rPr>
        <w:t>/W</w:t>
      </w:r>
    </w:p>
    <w:p w14:paraId="0E7B4C8B"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náhradní teplota chromatičnosti TC: 4000 K</w:t>
      </w:r>
    </w:p>
    <w:p w14:paraId="0E7B4C8C"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barevná stálost: 3 SDCM</w:t>
      </w:r>
    </w:p>
    <w:p w14:paraId="0E7B4C8D"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 xml:space="preserve">index barevného podání </w:t>
      </w:r>
      <w:proofErr w:type="spellStart"/>
      <w:r w:rsidRPr="00CF477C">
        <w:rPr>
          <w:rFonts w:ascii="Arial" w:hAnsi="Arial"/>
          <w:sz w:val="19"/>
          <w:szCs w:val="24"/>
          <w:lang w:eastAsia="en-US"/>
        </w:rPr>
        <w:t>Ra</w:t>
      </w:r>
      <w:proofErr w:type="spellEnd"/>
      <w:r w:rsidRPr="00CF477C">
        <w:rPr>
          <w:rFonts w:ascii="Arial" w:hAnsi="Arial"/>
          <w:sz w:val="19"/>
          <w:szCs w:val="24"/>
          <w:lang w:eastAsia="en-US"/>
        </w:rPr>
        <w:t>: 80 nebo vyšší</w:t>
      </w:r>
    </w:p>
    <w:p w14:paraId="0E7B4C8E"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montáž svítidla na držáku umožňující vyklopení svítidla</w:t>
      </w:r>
    </w:p>
    <w:p w14:paraId="0E7B4C8F"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certifikace svítidel ENEC</w:t>
      </w:r>
    </w:p>
    <w:p w14:paraId="0E7B4C90" w14:textId="77777777" w:rsidR="00CF477C" w:rsidRDefault="00CF477C" w:rsidP="00CF477C">
      <w:pPr>
        <w:pStyle w:val="normln0"/>
        <w:spacing w:line="360" w:lineRule="auto"/>
        <w:ind w:left="720"/>
        <w:rPr>
          <w:rFonts w:ascii="Arial" w:hAnsi="Arial"/>
          <w:b/>
          <w:sz w:val="19"/>
          <w:szCs w:val="24"/>
          <w:lang w:eastAsia="en-US"/>
        </w:rPr>
      </w:pPr>
    </w:p>
    <w:p w14:paraId="0E7B4C91" w14:textId="77777777" w:rsidR="00514367" w:rsidRPr="00CF477C" w:rsidRDefault="00514367" w:rsidP="00CF477C">
      <w:pPr>
        <w:pStyle w:val="normln0"/>
        <w:spacing w:line="360" w:lineRule="auto"/>
        <w:ind w:left="720"/>
        <w:rPr>
          <w:rFonts w:ascii="Arial" w:hAnsi="Arial"/>
          <w:b/>
          <w:sz w:val="19"/>
          <w:szCs w:val="24"/>
          <w:lang w:eastAsia="en-US"/>
        </w:rPr>
      </w:pPr>
      <w:r w:rsidRPr="00CF477C">
        <w:rPr>
          <w:rFonts w:ascii="Arial" w:hAnsi="Arial"/>
          <w:b/>
          <w:sz w:val="19"/>
          <w:szCs w:val="24"/>
          <w:lang w:eastAsia="en-US"/>
        </w:rPr>
        <w:t>Svítidla pro osvětlení ochozu</w:t>
      </w:r>
    </w:p>
    <w:p w14:paraId="0E7B4C92"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svítidla využívající technologii LED s pasivním chlazením</w:t>
      </w:r>
    </w:p>
    <w:p w14:paraId="0E7B4C93"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parametry stárnutí LED: L80B50 po 50000 hod. při Ta = 25 °C (pro celé svítidlo, ne pouze LED čipy)</w:t>
      </w:r>
    </w:p>
    <w:p w14:paraId="0E7B4C94"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náhradní teplota chromatičnosti TC: 4000 K</w:t>
      </w:r>
    </w:p>
    <w:p w14:paraId="0E7B4C95"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 xml:space="preserve">měrný světelný výkon: alespoň 100 </w:t>
      </w:r>
      <w:proofErr w:type="spellStart"/>
      <w:r w:rsidRPr="00CF477C">
        <w:rPr>
          <w:rFonts w:ascii="Arial" w:hAnsi="Arial"/>
          <w:sz w:val="19"/>
          <w:szCs w:val="24"/>
          <w:lang w:eastAsia="en-US"/>
        </w:rPr>
        <w:t>lm</w:t>
      </w:r>
      <w:proofErr w:type="spellEnd"/>
      <w:r w:rsidRPr="00CF477C">
        <w:rPr>
          <w:rFonts w:ascii="Arial" w:hAnsi="Arial"/>
          <w:sz w:val="19"/>
          <w:szCs w:val="24"/>
          <w:lang w:eastAsia="en-US"/>
        </w:rPr>
        <w:t>/W</w:t>
      </w:r>
    </w:p>
    <w:p w14:paraId="0E7B4C96"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barevná stálost: 3 SDCM</w:t>
      </w:r>
    </w:p>
    <w:p w14:paraId="0E7B4C97"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 xml:space="preserve">index barevného podání </w:t>
      </w:r>
      <w:proofErr w:type="spellStart"/>
      <w:r w:rsidRPr="00CF477C">
        <w:rPr>
          <w:rFonts w:ascii="Arial" w:hAnsi="Arial"/>
          <w:sz w:val="19"/>
          <w:szCs w:val="24"/>
          <w:lang w:eastAsia="en-US"/>
        </w:rPr>
        <w:t>Ra</w:t>
      </w:r>
      <w:proofErr w:type="spellEnd"/>
      <w:r w:rsidRPr="00CF477C">
        <w:rPr>
          <w:rFonts w:ascii="Arial" w:hAnsi="Arial"/>
          <w:sz w:val="19"/>
          <w:szCs w:val="24"/>
          <w:lang w:eastAsia="en-US"/>
        </w:rPr>
        <w:t>: 80 nebo vyšší</w:t>
      </w:r>
    </w:p>
    <w:p w14:paraId="0E7B4C98"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montáž svítidla na držáku umožňující vyklopení svítidla</w:t>
      </w:r>
    </w:p>
    <w:p w14:paraId="0E7B4C99"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certifikace svítidel ENEC</w:t>
      </w:r>
    </w:p>
    <w:p w14:paraId="0E7B4C9A" w14:textId="77777777" w:rsidR="00CF477C" w:rsidRDefault="00CF477C" w:rsidP="00CF477C">
      <w:pPr>
        <w:pStyle w:val="normln0"/>
        <w:spacing w:line="360" w:lineRule="auto"/>
        <w:ind w:left="720"/>
        <w:rPr>
          <w:rFonts w:ascii="Arial" w:hAnsi="Arial"/>
          <w:b/>
          <w:sz w:val="19"/>
          <w:szCs w:val="24"/>
          <w:lang w:eastAsia="en-US"/>
        </w:rPr>
      </w:pPr>
    </w:p>
    <w:p w14:paraId="0E7B4C9B" w14:textId="77777777" w:rsidR="00514367" w:rsidRPr="00CF477C" w:rsidRDefault="00514367" w:rsidP="00CF477C">
      <w:pPr>
        <w:pStyle w:val="normln0"/>
        <w:spacing w:line="360" w:lineRule="auto"/>
        <w:ind w:left="720"/>
        <w:rPr>
          <w:rFonts w:ascii="Arial" w:hAnsi="Arial"/>
          <w:b/>
          <w:sz w:val="19"/>
          <w:szCs w:val="24"/>
          <w:lang w:eastAsia="en-US"/>
        </w:rPr>
      </w:pPr>
      <w:r w:rsidRPr="00CF477C">
        <w:rPr>
          <w:rFonts w:ascii="Arial" w:hAnsi="Arial"/>
          <w:b/>
          <w:sz w:val="19"/>
          <w:szCs w:val="24"/>
          <w:lang w:eastAsia="en-US"/>
        </w:rPr>
        <w:t>Svítidla nouzového osvětlení</w:t>
      </w:r>
    </w:p>
    <w:p w14:paraId="0E7B4C9C"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svítidla využívající technologii LED s pasivním chlazením</w:t>
      </w:r>
    </w:p>
    <w:p w14:paraId="0E7B4C9D"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svítidlo vhodná pro sportovní haly – odolná proti úderu míčem (případně chráněná mříží)</w:t>
      </w:r>
    </w:p>
    <w:p w14:paraId="0E7B4C9E"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doložit certifikaci svítidel ENEC</w:t>
      </w:r>
    </w:p>
    <w:p w14:paraId="0E7B4C9F" w14:textId="77777777" w:rsidR="00CF477C" w:rsidRDefault="00CF477C" w:rsidP="00CF477C">
      <w:pPr>
        <w:pStyle w:val="normln0"/>
        <w:spacing w:line="360" w:lineRule="auto"/>
        <w:ind w:left="720"/>
        <w:rPr>
          <w:rFonts w:ascii="Arial" w:hAnsi="Arial"/>
          <w:b/>
          <w:sz w:val="19"/>
          <w:szCs w:val="24"/>
          <w:lang w:eastAsia="en-US"/>
        </w:rPr>
      </w:pPr>
    </w:p>
    <w:p w14:paraId="0E7B4CA0" w14:textId="77777777" w:rsidR="00514367" w:rsidRPr="00CF477C" w:rsidRDefault="00514367" w:rsidP="00CF477C">
      <w:pPr>
        <w:pStyle w:val="normln0"/>
        <w:spacing w:line="360" w:lineRule="auto"/>
        <w:ind w:left="720"/>
        <w:rPr>
          <w:rFonts w:ascii="Arial" w:hAnsi="Arial"/>
          <w:b/>
          <w:sz w:val="19"/>
          <w:szCs w:val="24"/>
          <w:lang w:eastAsia="en-US"/>
        </w:rPr>
      </w:pPr>
      <w:r w:rsidRPr="00CF477C">
        <w:rPr>
          <w:rFonts w:ascii="Arial" w:hAnsi="Arial"/>
          <w:b/>
          <w:sz w:val="19"/>
          <w:szCs w:val="24"/>
          <w:lang w:eastAsia="en-US"/>
        </w:rPr>
        <w:t>Požadavky na umístění svítidel</w:t>
      </w:r>
    </w:p>
    <w:p w14:paraId="0E7B4CA1"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svítidla musí být umístěna s ohledem na konstrukci stropu, v přiloženém výkresu jsou znázorněny oblasti, kde mohou být svítidla namontována</w:t>
      </w:r>
    </w:p>
    <w:p w14:paraId="0E7B4CA2" w14:textId="77777777" w:rsidR="00CF477C" w:rsidRDefault="00CF477C" w:rsidP="003F259B">
      <w:pPr>
        <w:spacing w:line="240" w:lineRule="auto"/>
        <w:jc w:val="left"/>
        <w:rPr>
          <w:b/>
        </w:rPr>
      </w:pPr>
    </w:p>
    <w:p w14:paraId="0E7B4CA3" w14:textId="77777777" w:rsidR="00514367" w:rsidRPr="00CF477C" w:rsidRDefault="00514367" w:rsidP="00CF477C">
      <w:pPr>
        <w:pStyle w:val="normln0"/>
        <w:spacing w:line="360" w:lineRule="auto"/>
        <w:ind w:left="720"/>
        <w:rPr>
          <w:rFonts w:ascii="Arial" w:hAnsi="Arial"/>
          <w:b/>
          <w:sz w:val="19"/>
          <w:szCs w:val="24"/>
          <w:lang w:eastAsia="en-US"/>
        </w:rPr>
      </w:pPr>
      <w:r w:rsidRPr="00CF477C">
        <w:rPr>
          <w:rFonts w:ascii="Arial" w:hAnsi="Arial"/>
          <w:b/>
          <w:sz w:val="19"/>
          <w:szCs w:val="24"/>
          <w:lang w:eastAsia="en-US"/>
        </w:rPr>
        <w:t>Záruční podmínky</w:t>
      </w:r>
    </w:p>
    <w:p w14:paraId="0E7B4CA4"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záruka na svítidla provozního osvětlení minimálně 5 let</w:t>
      </w:r>
    </w:p>
    <w:p w14:paraId="0E7B4CA5"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záruka na svítidla nouzového osvětlení minimálně 2 roky</w:t>
      </w:r>
    </w:p>
    <w:p w14:paraId="0E7B4CA6"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požadované hodnoty osvětlenosti budou splněny po celou dobu záruky, předpokládaná doba svícení ročně je 4000 hodin</w:t>
      </w:r>
    </w:p>
    <w:p w14:paraId="0E7B4CA7" w14:textId="77777777" w:rsidR="00CF477C" w:rsidRDefault="00CF477C" w:rsidP="00CF477C">
      <w:pPr>
        <w:pStyle w:val="normln0"/>
        <w:spacing w:line="360" w:lineRule="auto"/>
        <w:ind w:left="720"/>
        <w:rPr>
          <w:rFonts w:ascii="Arial" w:hAnsi="Arial"/>
          <w:b/>
          <w:sz w:val="19"/>
          <w:szCs w:val="24"/>
          <w:lang w:eastAsia="en-US"/>
        </w:rPr>
      </w:pPr>
    </w:p>
    <w:p w14:paraId="0E7B4CA8" w14:textId="77777777" w:rsidR="00514367" w:rsidRPr="00CF477C" w:rsidRDefault="00514367" w:rsidP="00CF477C">
      <w:pPr>
        <w:pStyle w:val="normln0"/>
        <w:spacing w:line="360" w:lineRule="auto"/>
        <w:ind w:firstLine="720"/>
        <w:rPr>
          <w:rFonts w:ascii="Arial" w:hAnsi="Arial"/>
          <w:b/>
          <w:sz w:val="19"/>
          <w:szCs w:val="24"/>
          <w:lang w:eastAsia="en-US"/>
        </w:rPr>
      </w:pPr>
      <w:r w:rsidRPr="00CF477C">
        <w:rPr>
          <w:rFonts w:ascii="Arial" w:hAnsi="Arial"/>
          <w:b/>
          <w:sz w:val="19"/>
          <w:szCs w:val="24"/>
          <w:lang w:eastAsia="en-US"/>
        </w:rPr>
        <w:t>Požadované dokumenty</w:t>
      </w:r>
      <w:r w:rsidR="0091715B" w:rsidRPr="00CF477C">
        <w:rPr>
          <w:rFonts w:ascii="Arial" w:hAnsi="Arial"/>
          <w:b/>
          <w:sz w:val="19"/>
          <w:szCs w:val="24"/>
          <w:lang w:eastAsia="en-US"/>
        </w:rPr>
        <w:t xml:space="preserve"> doloží dodavatel</w:t>
      </w:r>
    </w:p>
    <w:p w14:paraId="0E7B4CA9"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 xml:space="preserve">výstup výpočetního programu ve formátu </w:t>
      </w:r>
      <w:proofErr w:type="spellStart"/>
      <w:r w:rsidRPr="00CF477C">
        <w:rPr>
          <w:rFonts w:ascii="Arial" w:hAnsi="Arial"/>
          <w:sz w:val="19"/>
          <w:szCs w:val="24"/>
          <w:lang w:eastAsia="en-US"/>
        </w:rPr>
        <w:t>pdf</w:t>
      </w:r>
      <w:proofErr w:type="spellEnd"/>
      <w:r w:rsidRPr="00CF477C">
        <w:rPr>
          <w:rFonts w:ascii="Arial" w:hAnsi="Arial"/>
          <w:sz w:val="19"/>
          <w:szCs w:val="24"/>
          <w:lang w:eastAsia="en-US"/>
        </w:rPr>
        <w:t xml:space="preserve"> se všemi výše požadovanými parametry, pro účely porovnání bude ve výpočtu uveden elektrický příkon wattech</w:t>
      </w:r>
    </w:p>
    <w:p w14:paraId="0E7B4CAA"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 xml:space="preserve">zdrojový soubor výpočetního programu </w:t>
      </w:r>
      <w:proofErr w:type="spellStart"/>
      <w:r w:rsidRPr="00CF477C">
        <w:rPr>
          <w:rFonts w:ascii="Arial" w:hAnsi="Arial"/>
          <w:sz w:val="19"/>
          <w:szCs w:val="24"/>
          <w:lang w:eastAsia="en-US"/>
        </w:rPr>
        <w:t>Dialux</w:t>
      </w:r>
      <w:proofErr w:type="spellEnd"/>
      <w:r w:rsidRPr="00CF477C">
        <w:rPr>
          <w:rFonts w:ascii="Arial" w:hAnsi="Arial"/>
          <w:sz w:val="19"/>
          <w:szCs w:val="24"/>
          <w:lang w:eastAsia="en-US"/>
        </w:rPr>
        <w:t xml:space="preserve"> verze 4.13</w:t>
      </w:r>
    </w:p>
    <w:p w14:paraId="0E7B4CAB"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katalogové listy všech použitých svítidel s uvedením požadovaných parametrů</w:t>
      </w:r>
    </w:p>
    <w:p w14:paraId="0E7B4CAC"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pro svítidla nad hrací plochou certifikát odolnosti proti úderu míčem, například dle DIN 18032-3</w:t>
      </w:r>
    </w:p>
    <w:p w14:paraId="0E7B4CAD" w14:textId="77777777" w:rsidR="00514367" w:rsidRPr="00CF477C" w:rsidRDefault="00514367" w:rsidP="00CF477C">
      <w:pPr>
        <w:pStyle w:val="normln0"/>
        <w:spacing w:line="360" w:lineRule="auto"/>
        <w:ind w:left="720"/>
        <w:rPr>
          <w:rFonts w:ascii="Arial" w:hAnsi="Arial"/>
          <w:sz w:val="19"/>
          <w:szCs w:val="24"/>
          <w:lang w:eastAsia="en-US"/>
        </w:rPr>
      </w:pPr>
      <w:r w:rsidRPr="00CF477C">
        <w:rPr>
          <w:rFonts w:ascii="Arial" w:hAnsi="Arial"/>
          <w:sz w:val="19"/>
          <w:szCs w:val="24"/>
          <w:lang w:eastAsia="en-US"/>
        </w:rPr>
        <w:t>certifikáty ENEC všech použitých svítidel</w:t>
      </w:r>
    </w:p>
    <w:p w14:paraId="0E7B4CAE" w14:textId="77777777" w:rsidR="00E238A8" w:rsidRDefault="00E238A8" w:rsidP="00CF477C">
      <w:pPr>
        <w:pStyle w:val="normln0"/>
        <w:spacing w:line="360" w:lineRule="auto"/>
        <w:ind w:left="720"/>
        <w:rPr>
          <w:rFonts w:ascii="Arial" w:hAnsi="Arial"/>
          <w:sz w:val="19"/>
          <w:szCs w:val="24"/>
          <w:lang w:eastAsia="en-US"/>
        </w:rPr>
      </w:pPr>
    </w:p>
    <w:p w14:paraId="0E7B4CAF" w14:textId="77777777" w:rsidR="00AC5DD9" w:rsidRPr="00AC5DD9" w:rsidRDefault="00AC5DD9" w:rsidP="00AC5DD9">
      <w:pPr>
        <w:pStyle w:val="normln0"/>
        <w:spacing w:line="360" w:lineRule="auto"/>
        <w:ind w:left="720"/>
        <w:rPr>
          <w:rFonts w:ascii="Arial" w:hAnsi="Arial"/>
          <w:sz w:val="19"/>
          <w:szCs w:val="24"/>
          <w:lang w:eastAsia="en-US"/>
        </w:rPr>
      </w:pPr>
      <w:r w:rsidRPr="00AC5DD9">
        <w:rPr>
          <w:rFonts w:ascii="Arial" w:hAnsi="Arial"/>
          <w:sz w:val="19"/>
          <w:szCs w:val="24"/>
          <w:lang w:eastAsia="en-US"/>
        </w:rPr>
        <w:t>Počet svítidel a jejich rozmístění je zřejmé z výkresové části návrhu osvětlovací soustavy. Projektované osvětlení je navrženo na základě světelně technického projektu s výpočty umělého osvětlení.</w:t>
      </w:r>
    </w:p>
    <w:p w14:paraId="0E7B4CB0" w14:textId="77777777" w:rsidR="000D2BE6" w:rsidRPr="000D2BE6" w:rsidRDefault="000D2BE6" w:rsidP="000D2BE6">
      <w:pPr>
        <w:pStyle w:val="normln0"/>
        <w:spacing w:line="360" w:lineRule="auto"/>
        <w:ind w:left="720"/>
        <w:rPr>
          <w:rFonts w:ascii="Arial" w:hAnsi="Arial"/>
          <w:sz w:val="19"/>
          <w:szCs w:val="24"/>
          <w:lang w:eastAsia="en-US"/>
        </w:rPr>
      </w:pPr>
      <w:r w:rsidRPr="000D2BE6">
        <w:rPr>
          <w:rFonts w:ascii="Arial" w:hAnsi="Arial"/>
          <w:sz w:val="19"/>
          <w:szCs w:val="24"/>
          <w:lang w:eastAsia="en-US"/>
        </w:rPr>
        <w:t>Dodavatel světelně technického řešení musí doložit světelně technické výpočty pro celou řešenou oblast. Výpočet musí obsahovat typy a počty svítidel, rozmístění svítidel, hodnoty průměrných udržovaných osvětleností, rovnoměrnosti osvětleností a udržovací činitel.</w:t>
      </w:r>
    </w:p>
    <w:p w14:paraId="0E7B4CB1" w14:textId="77777777" w:rsidR="000D2BE6" w:rsidRPr="000D2BE6" w:rsidRDefault="000D2BE6" w:rsidP="000D2BE6">
      <w:pPr>
        <w:pStyle w:val="normln0"/>
        <w:spacing w:line="360" w:lineRule="auto"/>
        <w:ind w:left="720"/>
        <w:rPr>
          <w:rFonts w:ascii="Arial" w:hAnsi="Arial"/>
          <w:sz w:val="19"/>
          <w:szCs w:val="24"/>
          <w:lang w:eastAsia="en-US"/>
        </w:rPr>
      </w:pPr>
      <w:r w:rsidRPr="000D2BE6">
        <w:rPr>
          <w:rFonts w:ascii="Arial" w:hAnsi="Arial"/>
          <w:sz w:val="19"/>
          <w:szCs w:val="24"/>
          <w:lang w:eastAsia="en-US"/>
        </w:rPr>
        <w:t>Všechna svítidla musí být osazena světelnými zdroji LED.</w:t>
      </w:r>
    </w:p>
    <w:p w14:paraId="0E7B4CB2" w14:textId="77777777" w:rsidR="00A51B26" w:rsidRDefault="00A51B26" w:rsidP="007F3E43">
      <w:pPr>
        <w:pStyle w:val="normln0"/>
        <w:spacing w:line="360" w:lineRule="auto"/>
        <w:ind w:left="720"/>
        <w:rPr>
          <w:rFonts w:ascii="Arial" w:hAnsi="Arial"/>
          <w:sz w:val="19"/>
          <w:szCs w:val="24"/>
          <w:lang w:eastAsia="en-US"/>
        </w:rPr>
      </w:pPr>
    </w:p>
    <w:p w14:paraId="0E7B4CB3" w14:textId="77777777" w:rsidR="007F3E43" w:rsidRPr="00CE0D43" w:rsidRDefault="00AC5DD9" w:rsidP="00AC5DD9">
      <w:pPr>
        <w:pStyle w:val="Nadpis2"/>
      </w:pPr>
      <w:bookmarkStart w:id="23" w:name="_Toc26771910"/>
      <w:r>
        <w:t>Ovládání a řízení osvětlení</w:t>
      </w:r>
      <w:bookmarkEnd w:id="23"/>
    </w:p>
    <w:p w14:paraId="0E7B4CB4" w14:textId="77777777" w:rsidR="0091715B" w:rsidRPr="0091715B" w:rsidRDefault="0091715B" w:rsidP="0091715B">
      <w:pPr>
        <w:pStyle w:val="normln0"/>
        <w:spacing w:line="360" w:lineRule="auto"/>
        <w:ind w:left="720"/>
        <w:rPr>
          <w:rFonts w:ascii="Arial" w:hAnsi="Arial"/>
          <w:sz w:val="19"/>
          <w:szCs w:val="24"/>
          <w:lang w:eastAsia="en-US"/>
        </w:rPr>
      </w:pPr>
      <w:bookmarkStart w:id="24" w:name="_Toc276373589"/>
      <w:bookmarkStart w:id="25" w:name="_Toc325548133"/>
      <w:r w:rsidRPr="0091715B">
        <w:rPr>
          <w:rFonts w:ascii="Arial" w:hAnsi="Arial"/>
          <w:sz w:val="19"/>
          <w:szCs w:val="24"/>
          <w:lang w:eastAsia="en-US"/>
        </w:rPr>
        <w:t>Řízení osvětlení</w:t>
      </w:r>
    </w:p>
    <w:p w14:paraId="0E7B4CB5" w14:textId="58553638" w:rsidR="0091715B" w:rsidRPr="0091715B" w:rsidRDefault="0091715B" w:rsidP="0091715B">
      <w:pPr>
        <w:pStyle w:val="normln0"/>
        <w:spacing w:line="360" w:lineRule="auto"/>
        <w:ind w:left="720"/>
        <w:rPr>
          <w:rFonts w:ascii="Arial" w:hAnsi="Arial"/>
          <w:sz w:val="19"/>
          <w:szCs w:val="24"/>
          <w:lang w:eastAsia="en-US"/>
        </w:rPr>
      </w:pPr>
      <w:r w:rsidRPr="0091715B">
        <w:rPr>
          <w:rFonts w:ascii="Arial" w:hAnsi="Arial"/>
          <w:sz w:val="19"/>
          <w:szCs w:val="24"/>
          <w:lang w:eastAsia="en-US"/>
        </w:rPr>
        <w:t xml:space="preserve">Všechna svítidla pro osvětlení hrací plochy budou vybavena </w:t>
      </w:r>
      <w:proofErr w:type="spellStart"/>
      <w:r w:rsidRPr="0091715B">
        <w:rPr>
          <w:rFonts w:ascii="Arial" w:hAnsi="Arial"/>
          <w:sz w:val="19"/>
          <w:szCs w:val="24"/>
          <w:lang w:eastAsia="en-US"/>
        </w:rPr>
        <w:t>stmívatelnými</w:t>
      </w:r>
      <w:proofErr w:type="spellEnd"/>
      <w:r w:rsidRPr="0091715B">
        <w:rPr>
          <w:rFonts w:ascii="Arial" w:hAnsi="Arial"/>
          <w:sz w:val="19"/>
          <w:szCs w:val="24"/>
          <w:lang w:eastAsia="en-US"/>
        </w:rPr>
        <w:t xml:space="preserve"> elektronickými </w:t>
      </w:r>
      <w:r w:rsidR="00937CC6">
        <w:rPr>
          <w:rFonts w:ascii="Arial" w:hAnsi="Arial"/>
          <w:sz w:val="19"/>
          <w:szCs w:val="24"/>
          <w:lang w:eastAsia="en-US"/>
        </w:rPr>
        <w:t>předřadníky</w:t>
      </w:r>
      <w:r w:rsidRPr="0091715B">
        <w:rPr>
          <w:rFonts w:ascii="Arial" w:hAnsi="Arial"/>
          <w:sz w:val="19"/>
          <w:szCs w:val="24"/>
          <w:lang w:eastAsia="en-US"/>
        </w:rPr>
        <w:t xml:space="preserve"> používající komunikační protokol DALI a budou řízena pomocí řídícího systému osvětlení. Volba jednotlivých režimů osvětlovací soustavy bude probíhat pomocí tlačítek.</w:t>
      </w:r>
    </w:p>
    <w:p w14:paraId="0E7B4CB6" w14:textId="77777777" w:rsidR="0091715B" w:rsidRPr="0091715B" w:rsidRDefault="0091715B" w:rsidP="0091715B">
      <w:pPr>
        <w:pStyle w:val="normln0"/>
        <w:spacing w:line="360" w:lineRule="auto"/>
        <w:ind w:left="720"/>
        <w:rPr>
          <w:rFonts w:ascii="Arial" w:hAnsi="Arial"/>
          <w:sz w:val="19"/>
          <w:szCs w:val="24"/>
          <w:lang w:eastAsia="en-US"/>
        </w:rPr>
      </w:pPr>
      <w:r w:rsidRPr="0091715B">
        <w:rPr>
          <w:rFonts w:ascii="Arial" w:hAnsi="Arial"/>
          <w:sz w:val="19"/>
          <w:szCs w:val="24"/>
          <w:lang w:eastAsia="en-US"/>
        </w:rPr>
        <w:t>tlačítko 1 – aktivace režimu “Zápas bez televizního přenosu“</w:t>
      </w:r>
    </w:p>
    <w:p w14:paraId="0E7B4CB7" w14:textId="77777777" w:rsidR="0091715B" w:rsidRPr="0091715B" w:rsidRDefault="0091715B" w:rsidP="0091715B">
      <w:pPr>
        <w:pStyle w:val="normln0"/>
        <w:spacing w:line="360" w:lineRule="auto"/>
        <w:ind w:left="720"/>
        <w:rPr>
          <w:rFonts w:ascii="Arial" w:hAnsi="Arial"/>
          <w:sz w:val="19"/>
          <w:szCs w:val="24"/>
          <w:lang w:eastAsia="en-US"/>
        </w:rPr>
      </w:pPr>
      <w:r w:rsidRPr="0091715B">
        <w:rPr>
          <w:rFonts w:ascii="Arial" w:hAnsi="Arial"/>
          <w:sz w:val="19"/>
          <w:szCs w:val="24"/>
          <w:lang w:eastAsia="en-US"/>
        </w:rPr>
        <w:t>tlačítko 2 – aktivace režimu “Trénink“</w:t>
      </w:r>
    </w:p>
    <w:p w14:paraId="0E7B4CB8" w14:textId="77777777" w:rsidR="0091715B" w:rsidRPr="0091715B" w:rsidRDefault="0091715B" w:rsidP="0091715B">
      <w:pPr>
        <w:pStyle w:val="normln0"/>
        <w:spacing w:line="360" w:lineRule="auto"/>
        <w:ind w:left="720"/>
        <w:rPr>
          <w:rFonts w:ascii="Arial" w:hAnsi="Arial"/>
          <w:sz w:val="19"/>
          <w:szCs w:val="24"/>
          <w:lang w:eastAsia="en-US"/>
        </w:rPr>
      </w:pPr>
      <w:r w:rsidRPr="0091715B">
        <w:rPr>
          <w:rFonts w:ascii="Arial" w:hAnsi="Arial"/>
          <w:sz w:val="19"/>
          <w:szCs w:val="24"/>
          <w:lang w:eastAsia="en-US"/>
        </w:rPr>
        <w:t>tlačítko 3 – aktivace režimu “Rekreace“</w:t>
      </w:r>
    </w:p>
    <w:p w14:paraId="0E7B4CB9" w14:textId="77777777" w:rsidR="0091715B" w:rsidRPr="0091715B" w:rsidRDefault="0091715B" w:rsidP="0091715B">
      <w:pPr>
        <w:pStyle w:val="normln0"/>
        <w:spacing w:line="360" w:lineRule="auto"/>
        <w:ind w:left="720"/>
        <w:rPr>
          <w:rFonts w:ascii="Arial" w:hAnsi="Arial"/>
          <w:sz w:val="19"/>
          <w:szCs w:val="24"/>
          <w:lang w:eastAsia="en-US"/>
        </w:rPr>
      </w:pPr>
      <w:r w:rsidRPr="0091715B">
        <w:rPr>
          <w:rFonts w:ascii="Arial" w:hAnsi="Arial"/>
          <w:sz w:val="19"/>
          <w:szCs w:val="24"/>
          <w:lang w:eastAsia="en-US"/>
        </w:rPr>
        <w:t>tlačítko 4 – vypnutí svítidel</w:t>
      </w:r>
    </w:p>
    <w:p w14:paraId="0E7B4CBA" w14:textId="77777777" w:rsidR="0091715B" w:rsidRPr="0091715B" w:rsidRDefault="0091715B" w:rsidP="0091715B">
      <w:pPr>
        <w:pStyle w:val="normln0"/>
        <w:spacing w:line="360" w:lineRule="auto"/>
        <w:ind w:left="720"/>
        <w:rPr>
          <w:rFonts w:ascii="Arial" w:hAnsi="Arial"/>
          <w:sz w:val="19"/>
          <w:szCs w:val="24"/>
          <w:lang w:eastAsia="en-US"/>
        </w:rPr>
      </w:pPr>
      <w:r w:rsidRPr="0091715B">
        <w:rPr>
          <w:rFonts w:ascii="Arial" w:hAnsi="Arial"/>
          <w:sz w:val="19"/>
          <w:szCs w:val="24"/>
          <w:lang w:eastAsia="en-US"/>
        </w:rPr>
        <w:t>tlačítko 5 – nezávislé zapínání a vypínání svítidel pro televizní přenosy</w:t>
      </w:r>
    </w:p>
    <w:p w14:paraId="0E7B4CBB" w14:textId="77777777" w:rsidR="0091715B" w:rsidRPr="0091715B" w:rsidRDefault="0091715B" w:rsidP="0091715B">
      <w:pPr>
        <w:pStyle w:val="normln0"/>
        <w:spacing w:line="360" w:lineRule="auto"/>
        <w:ind w:left="720"/>
        <w:rPr>
          <w:rFonts w:ascii="Arial" w:hAnsi="Arial"/>
          <w:sz w:val="19"/>
          <w:szCs w:val="24"/>
          <w:lang w:eastAsia="en-US"/>
        </w:rPr>
      </w:pPr>
      <w:r w:rsidRPr="0091715B">
        <w:rPr>
          <w:rFonts w:ascii="Arial" w:hAnsi="Arial"/>
          <w:sz w:val="19"/>
          <w:szCs w:val="24"/>
          <w:lang w:eastAsia="en-US"/>
        </w:rPr>
        <w:t>tlačítko 6 – nezávislé zapínání a vypínání svítidel pro ochozy</w:t>
      </w:r>
    </w:p>
    <w:p w14:paraId="0E7B4CBC" w14:textId="77777777" w:rsidR="0091715B" w:rsidRPr="0091715B" w:rsidRDefault="0091715B" w:rsidP="0091715B">
      <w:pPr>
        <w:pStyle w:val="normln0"/>
        <w:spacing w:line="360" w:lineRule="auto"/>
        <w:ind w:left="720"/>
        <w:rPr>
          <w:rFonts w:ascii="Arial" w:hAnsi="Arial"/>
          <w:sz w:val="19"/>
          <w:szCs w:val="24"/>
          <w:lang w:eastAsia="en-US"/>
        </w:rPr>
      </w:pPr>
    </w:p>
    <w:p w14:paraId="1F173FFB" w14:textId="77777777" w:rsidR="0015467F" w:rsidRDefault="0091715B" w:rsidP="0091715B">
      <w:pPr>
        <w:pStyle w:val="normln0"/>
        <w:spacing w:line="360" w:lineRule="auto"/>
        <w:ind w:left="720"/>
        <w:rPr>
          <w:rFonts w:ascii="Arial" w:hAnsi="Arial"/>
          <w:sz w:val="19"/>
          <w:szCs w:val="24"/>
          <w:lang w:eastAsia="en-US"/>
        </w:rPr>
      </w:pPr>
      <w:r w:rsidRPr="0091715B">
        <w:rPr>
          <w:rFonts w:ascii="Arial" w:hAnsi="Arial"/>
          <w:sz w:val="19"/>
          <w:szCs w:val="24"/>
          <w:lang w:eastAsia="en-US"/>
        </w:rPr>
        <w:t xml:space="preserve">Tlačítka budou umístěna </w:t>
      </w:r>
      <w:r w:rsidR="0015467F">
        <w:rPr>
          <w:rFonts w:ascii="Arial" w:hAnsi="Arial"/>
          <w:sz w:val="19"/>
          <w:szCs w:val="24"/>
          <w:lang w:eastAsia="en-US"/>
        </w:rPr>
        <w:t>na</w:t>
      </w:r>
      <w:r w:rsidRPr="0091715B">
        <w:rPr>
          <w:rFonts w:ascii="Arial" w:hAnsi="Arial"/>
          <w:sz w:val="19"/>
          <w:szCs w:val="24"/>
          <w:lang w:eastAsia="en-US"/>
        </w:rPr>
        <w:t xml:space="preserve"> dvou místech: </w:t>
      </w:r>
    </w:p>
    <w:p w14:paraId="131C7414" w14:textId="123452A8" w:rsidR="0015467F" w:rsidRDefault="0015467F" w:rsidP="0091715B">
      <w:pPr>
        <w:pStyle w:val="normln0"/>
        <w:spacing w:line="360" w:lineRule="auto"/>
        <w:ind w:left="720"/>
        <w:rPr>
          <w:rFonts w:ascii="Arial" w:hAnsi="Arial"/>
          <w:sz w:val="19"/>
          <w:szCs w:val="24"/>
          <w:lang w:eastAsia="en-US"/>
        </w:rPr>
      </w:pPr>
      <w:r>
        <w:rPr>
          <w:rFonts w:ascii="Arial" w:hAnsi="Arial"/>
          <w:sz w:val="19"/>
          <w:szCs w:val="24"/>
          <w:lang w:eastAsia="en-US"/>
        </w:rPr>
        <w:t xml:space="preserve">- </w:t>
      </w:r>
      <w:r w:rsidR="0091715B" w:rsidRPr="0091715B">
        <w:rPr>
          <w:rFonts w:ascii="Arial" w:hAnsi="Arial"/>
          <w:sz w:val="19"/>
          <w:szCs w:val="24"/>
          <w:lang w:eastAsia="en-US"/>
        </w:rPr>
        <w:t xml:space="preserve">na </w:t>
      </w:r>
      <w:r w:rsidR="006257EE">
        <w:rPr>
          <w:rFonts w:ascii="Arial" w:hAnsi="Arial"/>
          <w:sz w:val="19"/>
          <w:szCs w:val="24"/>
          <w:lang w:eastAsia="en-US"/>
        </w:rPr>
        <w:t xml:space="preserve">dveřích stávajícího </w:t>
      </w:r>
      <w:r w:rsidR="0091715B" w:rsidRPr="0091715B">
        <w:rPr>
          <w:rFonts w:ascii="Arial" w:hAnsi="Arial"/>
          <w:sz w:val="19"/>
          <w:szCs w:val="24"/>
          <w:lang w:eastAsia="en-US"/>
        </w:rPr>
        <w:t>rozvaděč</w:t>
      </w:r>
      <w:r w:rsidR="006257EE">
        <w:rPr>
          <w:rFonts w:ascii="Arial" w:hAnsi="Arial"/>
          <w:sz w:val="19"/>
          <w:szCs w:val="24"/>
          <w:lang w:eastAsia="en-US"/>
        </w:rPr>
        <w:t>e</w:t>
      </w:r>
      <w:r w:rsidR="0091715B" w:rsidRPr="0091715B">
        <w:rPr>
          <w:rFonts w:ascii="Arial" w:hAnsi="Arial"/>
          <w:sz w:val="19"/>
          <w:szCs w:val="24"/>
          <w:lang w:eastAsia="en-US"/>
        </w:rPr>
        <w:t xml:space="preserve"> pro osvětlení </w:t>
      </w:r>
      <w:r w:rsidR="00224DD1">
        <w:rPr>
          <w:rFonts w:ascii="Arial" w:hAnsi="Arial"/>
          <w:sz w:val="19"/>
          <w:szCs w:val="24"/>
          <w:lang w:eastAsia="en-US"/>
        </w:rPr>
        <w:t xml:space="preserve">s označením </w:t>
      </w:r>
      <w:r w:rsidR="0091715B" w:rsidRPr="0091715B">
        <w:rPr>
          <w:rFonts w:ascii="Arial" w:hAnsi="Arial"/>
          <w:sz w:val="19"/>
          <w:szCs w:val="24"/>
          <w:lang w:eastAsia="en-US"/>
        </w:rPr>
        <w:t>RSX1</w:t>
      </w:r>
    </w:p>
    <w:p w14:paraId="0F4EC51B" w14:textId="77777777" w:rsidR="00606454" w:rsidRDefault="006257EE" w:rsidP="0091715B">
      <w:pPr>
        <w:pStyle w:val="normln0"/>
        <w:spacing w:line="360" w:lineRule="auto"/>
        <w:ind w:left="720"/>
        <w:rPr>
          <w:rFonts w:ascii="Arial" w:hAnsi="Arial"/>
          <w:sz w:val="19"/>
          <w:szCs w:val="24"/>
          <w:lang w:eastAsia="en-US"/>
        </w:rPr>
      </w:pPr>
      <w:r>
        <w:rPr>
          <w:rFonts w:ascii="Arial" w:hAnsi="Arial"/>
          <w:sz w:val="19"/>
          <w:szCs w:val="24"/>
          <w:lang w:eastAsia="en-US"/>
        </w:rPr>
        <w:t xml:space="preserve">- </w:t>
      </w:r>
      <w:r w:rsidR="0091715B" w:rsidRPr="0091715B">
        <w:rPr>
          <w:rFonts w:ascii="Arial" w:hAnsi="Arial"/>
          <w:sz w:val="19"/>
          <w:szCs w:val="24"/>
          <w:lang w:eastAsia="en-US"/>
        </w:rPr>
        <w:t xml:space="preserve"> </w:t>
      </w:r>
      <w:r w:rsidR="00606454">
        <w:rPr>
          <w:rFonts w:ascii="Arial" w:hAnsi="Arial"/>
          <w:sz w:val="19"/>
          <w:szCs w:val="24"/>
          <w:lang w:eastAsia="en-US"/>
        </w:rPr>
        <w:t>u vstupu do haly na stávající ovládací skříňce MS</w:t>
      </w:r>
    </w:p>
    <w:p w14:paraId="0E7B4CBE" w14:textId="4FD5793A" w:rsidR="0091715B" w:rsidRDefault="0091715B" w:rsidP="0091715B">
      <w:pPr>
        <w:pStyle w:val="normln0"/>
        <w:spacing w:line="360" w:lineRule="auto"/>
        <w:ind w:left="720"/>
        <w:rPr>
          <w:rFonts w:ascii="Arial" w:hAnsi="Arial"/>
          <w:sz w:val="19"/>
          <w:szCs w:val="24"/>
          <w:lang w:eastAsia="en-US"/>
        </w:rPr>
      </w:pPr>
      <w:r w:rsidRPr="0091715B">
        <w:rPr>
          <w:rFonts w:ascii="Arial" w:hAnsi="Arial"/>
          <w:sz w:val="19"/>
          <w:szCs w:val="24"/>
          <w:lang w:eastAsia="en-US"/>
        </w:rPr>
        <w:t xml:space="preserve"> Na rozvaděči </w:t>
      </w:r>
      <w:r w:rsidR="00606454">
        <w:rPr>
          <w:rFonts w:ascii="Arial" w:hAnsi="Arial"/>
          <w:sz w:val="19"/>
          <w:szCs w:val="24"/>
          <w:lang w:eastAsia="en-US"/>
        </w:rPr>
        <w:t xml:space="preserve">RSX1 </w:t>
      </w:r>
      <w:r w:rsidRPr="0091715B">
        <w:rPr>
          <w:rFonts w:ascii="Arial" w:hAnsi="Arial"/>
          <w:sz w:val="19"/>
          <w:szCs w:val="24"/>
          <w:lang w:eastAsia="en-US"/>
        </w:rPr>
        <w:t xml:space="preserve">bude umístěn otočný přepínač, který umožní zablokování druhého ovládání </w:t>
      </w:r>
      <w:r w:rsidR="00606454">
        <w:rPr>
          <w:rFonts w:ascii="Arial" w:hAnsi="Arial"/>
          <w:sz w:val="19"/>
          <w:szCs w:val="24"/>
          <w:lang w:eastAsia="en-US"/>
        </w:rPr>
        <w:t>u vstupu do haly.</w:t>
      </w:r>
    </w:p>
    <w:p w14:paraId="1BA69DEF" w14:textId="77777777" w:rsidR="002A5A97" w:rsidRPr="00683FD9" w:rsidRDefault="00BC2474" w:rsidP="002A5A97">
      <w:pPr>
        <w:pStyle w:val="Nadpis1"/>
      </w:pPr>
      <w:r>
        <w:rPr>
          <w:sz w:val="19"/>
        </w:rPr>
        <w:tab/>
      </w:r>
      <w:bookmarkStart w:id="26" w:name="_Toc23933351"/>
      <w:bookmarkStart w:id="27" w:name="_Toc26771911"/>
      <w:r w:rsidR="002A5A97">
        <w:t>Kabelové trasy</w:t>
      </w:r>
      <w:bookmarkEnd w:id="26"/>
      <w:bookmarkEnd w:id="27"/>
    </w:p>
    <w:p w14:paraId="6C906AEE" w14:textId="62059CE2" w:rsidR="000A5668" w:rsidRDefault="000A5668" w:rsidP="000A5668">
      <w:pPr>
        <w:tabs>
          <w:tab w:val="left" w:pos="0"/>
        </w:tabs>
      </w:pPr>
    </w:p>
    <w:p w14:paraId="71A674CF" w14:textId="3611A9AC" w:rsidR="00AF53FC" w:rsidRPr="0081391B" w:rsidRDefault="00AF53FC" w:rsidP="00AF53FC">
      <w:pPr>
        <w:spacing w:after="120"/>
      </w:pPr>
      <w:r>
        <w:lastRenderedPageBreak/>
        <w:t xml:space="preserve">Silové napájení svítidel umělého osvětlení bude pomocí nové kabeláže. </w:t>
      </w:r>
      <w:r w:rsidRPr="0081391B">
        <w:t xml:space="preserve">Napájení osvětlovací soustavy je provedeno 3f vedením </w:t>
      </w:r>
      <w:r>
        <w:t>pomocí kabelů CYK</w:t>
      </w:r>
      <w:r w:rsidR="00884395">
        <w:t>Y</w:t>
      </w:r>
      <w:r>
        <w:t>-J 5x</w:t>
      </w:r>
      <w:r w:rsidR="0039751F">
        <w:t>1</w:t>
      </w:r>
      <w:r>
        <w:t xml:space="preserve">,5. Tato kabeláž </w:t>
      </w:r>
      <w:r w:rsidR="0039751F">
        <w:t>bude</w:t>
      </w:r>
      <w:r w:rsidRPr="0081391B">
        <w:t xml:space="preserve"> smyčkován</w:t>
      </w:r>
      <w:r>
        <w:t>a</w:t>
      </w:r>
      <w:r w:rsidRPr="0081391B">
        <w:t xml:space="preserve"> přes instalační krabice umístěné na stávajícím žlabu. Každému svítidlu </w:t>
      </w:r>
      <w:r>
        <w:t>p</w:t>
      </w:r>
      <w:r w:rsidRPr="0081391B">
        <w:t>řísluš</w:t>
      </w:r>
      <w:r>
        <w:t>í</w:t>
      </w:r>
      <w:r w:rsidRPr="0081391B">
        <w:t xml:space="preserve"> jedna instalační krabice.</w:t>
      </w:r>
    </w:p>
    <w:p w14:paraId="19DC1254" w14:textId="4B783E18" w:rsidR="00AF53FC" w:rsidRDefault="00AF53FC" w:rsidP="00AF53FC">
      <w:pPr>
        <w:spacing w:after="120"/>
      </w:pPr>
      <w:r w:rsidRPr="0081391B">
        <w:t xml:space="preserve">Kabelové rozvody pro řízení osvětlení (DALI) </w:t>
      </w:r>
      <w:r w:rsidR="0039751F">
        <w:t>budou</w:t>
      </w:r>
      <w:r w:rsidRPr="0081391B">
        <w:t xml:space="preserve"> nově </w:t>
      </w:r>
      <w:r w:rsidR="00AE17FB">
        <w:t>provedeny kabelem CYLY-O 2x</w:t>
      </w:r>
      <w:proofErr w:type="gramStart"/>
      <w:r w:rsidR="00AE17FB">
        <w:t>1,5</w:t>
      </w:r>
      <w:r w:rsidR="00CC1A8A">
        <w:t>.</w:t>
      </w:r>
      <w:r w:rsidRPr="0081391B">
        <w:t>.</w:t>
      </w:r>
      <w:proofErr w:type="gramEnd"/>
      <w:r w:rsidRPr="0081391B">
        <w:t xml:space="preserve"> Ovládací vedení </w:t>
      </w:r>
      <w:r>
        <w:t>je</w:t>
      </w:r>
      <w:r w:rsidRPr="0081391B">
        <w:t xml:space="preserve"> smyčkováno přes instalační krabice.</w:t>
      </w:r>
    </w:p>
    <w:p w14:paraId="5EF2FEDA" w14:textId="2157796A" w:rsidR="00CC1A8A" w:rsidRPr="0081391B" w:rsidRDefault="00CC1A8A" w:rsidP="00AF53FC">
      <w:pPr>
        <w:spacing w:after="120"/>
      </w:pPr>
      <w:r>
        <w:t xml:space="preserve">Kabeláž bude </w:t>
      </w:r>
      <w:r w:rsidRPr="0081391B">
        <w:t>instalován</w:t>
      </w:r>
      <w:r>
        <w:t>a</w:t>
      </w:r>
      <w:r w:rsidRPr="0081391B">
        <w:t xml:space="preserve"> do </w:t>
      </w:r>
      <w:r>
        <w:t xml:space="preserve">nových </w:t>
      </w:r>
      <w:r w:rsidRPr="0081391B">
        <w:t>kabelových tras</w:t>
      </w:r>
      <w:r>
        <w:t>.</w:t>
      </w:r>
    </w:p>
    <w:p w14:paraId="2AB7CE00" w14:textId="1EC4BCE4" w:rsidR="00AF53FC" w:rsidRPr="0081391B" w:rsidRDefault="00AF53FC" w:rsidP="00AF53FC">
      <w:pPr>
        <w:spacing w:after="120"/>
      </w:pPr>
      <w:r w:rsidRPr="0081391B">
        <w:t xml:space="preserve">Napojení svítidla </w:t>
      </w:r>
      <w:r>
        <w:t>j</w:t>
      </w:r>
      <w:r w:rsidRPr="0081391B">
        <w:t xml:space="preserve">e provedeno přes instalační krabici, kde </w:t>
      </w:r>
      <w:r>
        <w:t>je</w:t>
      </w:r>
      <w:r w:rsidRPr="0081391B">
        <w:t xml:space="preserve"> na svorkách ukončeno průběžné napájecí a ovládací vedení. Svítidlo </w:t>
      </w:r>
      <w:r>
        <w:t>j</w:t>
      </w:r>
      <w:r w:rsidRPr="0081391B">
        <w:t xml:space="preserve">e napojeno pohyblivým přívodem do svorkovnice. Rozfázování svítidel </w:t>
      </w:r>
      <w:r>
        <w:t>j</w:t>
      </w:r>
      <w:r w:rsidRPr="0081391B">
        <w:t>e provedeno rovnoměrně z důvodu rovnoměrného proudového zatížení jednotlivých fází</w:t>
      </w:r>
      <w:r w:rsidR="00884395">
        <w:t>.</w:t>
      </w:r>
      <w:r>
        <w:t xml:space="preserve">  </w:t>
      </w:r>
    </w:p>
    <w:p w14:paraId="307BC101" w14:textId="77777777" w:rsidR="000A5668" w:rsidRDefault="000A5668" w:rsidP="0091715B">
      <w:pPr>
        <w:pStyle w:val="normln0"/>
        <w:spacing w:line="360" w:lineRule="auto"/>
        <w:rPr>
          <w:rFonts w:ascii="Arial" w:hAnsi="Arial"/>
          <w:sz w:val="19"/>
          <w:szCs w:val="24"/>
          <w:lang w:eastAsia="en-US"/>
        </w:rPr>
      </w:pPr>
    </w:p>
    <w:p w14:paraId="0E7B4CC0" w14:textId="7036A250" w:rsidR="000367D1" w:rsidRPr="00CE0D43" w:rsidRDefault="000367D1" w:rsidP="000367D1">
      <w:pPr>
        <w:pStyle w:val="Nadpis2"/>
      </w:pPr>
      <w:bookmarkStart w:id="28" w:name="_Toc26771912"/>
      <w:r>
        <w:t>Doplnění a úpravy stávajícího rozváděče osvětlení RS</w:t>
      </w:r>
      <w:r w:rsidR="00F60263">
        <w:t>X1</w:t>
      </w:r>
      <w:bookmarkEnd w:id="28"/>
    </w:p>
    <w:p w14:paraId="0E7B4CC1" w14:textId="77777777" w:rsidR="000367D1" w:rsidRDefault="000367D1" w:rsidP="00915AE6">
      <w:pPr>
        <w:pStyle w:val="normln0"/>
        <w:spacing w:line="360" w:lineRule="auto"/>
        <w:ind w:left="720"/>
        <w:rPr>
          <w:rFonts w:ascii="Arial" w:hAnsi="Arial"/>
          <w:sz w:val="19"/>
          <w:szCs w:val="24"/>
          <w:lang w:eastAsia="en-US"/>
        </w:rPr>
      </w:pPr>
    </w:p>
    <w:p w14:paraId="0E7B4CC2" w14:textId="77777777" w:rsidR="000367D1" w:rsidRPr="000367D1" w:rsidRDefault="000367D1" w:rsidP="000367D1">
      <w:pPr>
        <w:pStyle w:val="normln0"/>
        <w:spacing w:line="360" w:lineRule="auto"/>
        <w:ind w:left="720"/>
        <w:rPr>
          <w:rFonts w:ascii="Arial" w:hAnsi="Arial"/>
          <w:sz w:val="19"/>
          <w:szCs w:val="24"/>
          <w:lang w:eastAsia="en-US"/>
        </w:rPr>
      </w:pPr>
      <w:r>
        <w:rPr>
          <w:rFonts w:ascii="Arial" w:hAnsi="Arial"/>
          <w:sz w:val="19"/>
          <w:szCs w:val="24"/>
          <w:lang w:eastAsia="en-US"/>
        </w:rPr>
        <w:t xml:space="preserve">V souvislosti s instalací nového umělého a nouzového osvětlení se předpokládá, že přístrojová náplň stávajícího rozváděče </w:t>
      </w:r>
      <w:r w:rsidR="00CF477C">
        <w:rPr>
          <w:rFonts w:ascii="Arial" w:hAnsi="Arial"/>
          <w:sz w:val="19"/>
          <w:szCs w:val="24"/>
          <w:lang w:eastAsia="en-US"/>
        </w:rPr>
        <w:t>RSX1</w:t>
      </w:r>
      <w:r w:rsidRPr="000367D1">
        <w:rPr>
          <w:rFonts w:ascii="Arial" w:hAnsi="Arial"/>
          <w:sz w:val="19"/>
          <w:szCs w:val="24"/>
          <w:lang w:eastAsia="en-US"/>
        </w:rPr>
        <w:t xml:space="preserve"> bude </w:t>
      </w:r>
      <w:r w:rsidR="00CF477C">
        <w:rPr>
          <w:rFonts w:ascii="Arial" w:hAnsi="Arial"/>
          <w:sz w:val="19"/>
          <w:szCs w:val="24"/>
          <w:lang w:eastAsia="en-US"/>
        </w:rPr>
        <w:t>částečně</w:t>
      </w:r>
      <w:r w:rsidR="00072880">
        <w:rPr>
          <w:rFonts w:ascii="Arial" w:hAnsi="Arial"/>
          <w:sz w:val="19"/>
          <w:szCs w:val="24"/>
          <w:lang w:eastAsia="en-US"/>
        </w:rPr>
        <w:t xml:space="preserve"> demontována.</w:t>
      </w:r>
    </w:p>
    <w:p w14:paraId="0E7B4CC3" w14:textId="19A4314F" w:rsidR="000367D1" w:rsidRPr="000367D1" w:rsidRDefault="000367D1" w:rsidP="000367D1">
      <w:pPr>
        <w:pStyle w:val="normln0"/>
        <w:spacing w:line="360" w:lineRule="auto"/>
        <w:ind w:left="720"/>
        <w:rPr>
          <w:rFonts w:ascii="Arial" w:hAnsi="Arial"/>
          <w:sz w:val="19"/>
          <w:szCs w:val="24"/>
          <w:lang w:eastAsia="en-US"/>
        </w:rPr>
      </w:pPr>
      <w:r w:rsidRPr="000367D1">
        <w:rPr>
          <w:rFonts w:ascii="Arial" w:hAnsi="Arial"/>
          <w:sz w:val="19"/>
          <w:szCs w:val="24"/>
          <w:lang w:eastAsia="en-US"/>
        </w:rPr>
        <w:t>D</w:t>
      </w:r>
      <w:r w:rsidR="00072880">
        <w:rPr>
          <w:rFonts w:ascii="Arial" w:hAnsi="Arial"/>
          <w:sz w:val="19"/>
          <w:szCs w:val="24"/>
          <w:lang w:eastAsia="en-US"/>
        </w:rPr>
        <w:t xml:space="preserve">o uvolněného prostoru </w:t>
      </w:r>
      <w:r w:rsidRPr="000367D1">
        <w:rPr>
          <w:rFonts w:ascii="Arial" w:hAnsi="Arial"/>
          <w:sz w:val="19"/>
          <w:szCs w:val="24"/>
          <w:lang w:eastAsia="en-US"/>
        </w:rPr>
        <w:t>bude namontována nov</w:t>
      </w:r>
      <w:r w:rsidR="00072880">
        <w:rPr>
          <w:rFonts w:ascii="Arial" w:hAnsi="Arial"/>
          <w:sz w:val="19"/>
          <w:szCs w:val="24"/>
          <w:lang w:eastAsia="en-US"/>
        </w:rPr>
        <w:t xml:space="preserve">á přístrojová </w:t>
      </w:r>
      <w:proofErr w:type="gramStart"/>
      <w:r w:rsidR="00072880">
        <w:rPr>
          <w:rFonts w:ascii="Arial" w:hAnsi="Arial"/>
          <w:sz w:val="19"/>
          <w:szCs w:val="24"/>
          <w:lang w:eastAsia="en-US"/>
        </w:rPr>
        <w:t>náplň</w:t>
      </w:r>
      <w:r w:rsidR="008D75E2">
        <w:rPr>
          <w:rFonts w:ascii="Arial" w:hAnsi="Arial"/>
          <w:sz w:val="19"/>
          <w:szCs w:val="24"/>
          <w:lang w:eastAsia="en-US"/>
        </w:rPr>
        <w:t xml:space="preserve"> - </w:t>
      </w:r>
      <w:r w:rsidRPr="000367D1">
        <w:rPr>
          <w:rFonts w:ascii="Arial" w:hAnsi="Arial"/>
          <w:sz w:val="19"/>
          <w:szCs w:val="24"/>
          <w:lang w:eastAsia="en-US"/>
        </w:rPr>
        <w:t>prvk</w:t>
      </w:r>
      <w:r w:rsidR="00C63234">
        <w:rPr>
          <w:rFonts w:ascii="Arial" w:hAnsi="Arial"/>
          <w:sz w:val="19"/>
          <w:szCs w:val="24"/>
          <w:lang w:eastAsia="en-US"/>
        </w:rPr>
        <w:t>y</w:t>
      </w:r>
      <w:proofErr w:type="gramEnd"/>
      <w:r w:rsidR="00C63234">
        <w:rPr>
          <w:rFonts w:ascii="Arial" w:hAnsi="Arial"/>
          <w:sz w:val="19"/>
          <w:szCs w:val="24"/>
          <w:lang w:eastAsia="en-US"/>
        </w:rPr>
        <w:t xml:space="preserve"> systému řízení osvětlení DALI</w:t>
      </w:r>
      <w:r w:rsidR="00B42B0F">
        <w:rPr>
          <w:rFonts w:ascii="Arial" w:hAnsi="Arial"/>
          <w:sz w:val="19"/>
          <w:szCs w:val="24"/>
          <w:lang w:eastAsia="en-US"/>
        </w:rPr>
        <w:t xml:space="preserve">, včetně rezervních </w:t>
      </w:r>
      <w:r w:rsidR="00B86F3B">
        <w:rPr>
          <w:rFonts w:ascii="Arial" w:hAnsi="Arial"/>
          <w:sz w:val="19"/>
          <w:szCs w:val="24"/>
          <w:lang w:eastAsia="en-US"/>
        </w:rPr>
        <w:t>prvků DALI.</w:t>
      </w:r>
      <w:r w:rsidR="002C2E69">
        <w:rPr>
          <w:rFonts w:ascii="Arial" w:hAnsi="Arial"/>
          <w:sz w:val="19"/>
          <w:szCs w:val="24"/>
          <w:lang w:eastAsia="en-US"/>
        </w:rPr>
        <w:t xml:space="preserve"> </w:t>
      </w:r>
    </w:p>
    <w:p w14:paraId="0E7B4CC4" w14:textId="77777777" w:rsidR="00915AE6" w:rsidRDefault="00915AE6" w:rsidP="002D0827">
      <w:pPr>
        <w:pStyle w:val="normln0"/>
        <w:spacing w:line="360" w:lineRule="auto"/>
        <w:ind w:left="720"/>
        <w:rPr>
          <w:rFonts w:ascii="Arial" w:hAnsi="Arial"/>
          <w:sz w:val="19"/>
          <w:szCs w:val="24"/>
          <w:lang w:eastAsia="en-US"/>
        </w:rPr>
      </w:pPr>
    </w:p>
    <w:p w14:paraId="0E7B4CC5" w14:textId="77777777" w:rsidR="007F3E43" w:rsidRPr="000367D1" w:rsidRDefault="007F3E43" w:rsidP="00FE1A4C">
      <w:pPr>
        <w:pStyle w:val="Nadpis1"/>
      </w:pPr>
      <w:bookmarkStart w:id="29" w:name="_Toc26771913"/>
      <w:r w:rsidRPr="000367D1">
        <w:t>Nouzové a bezpečnostní osvětlení</w:t>
      </w:r>
      <w:bookmarkEnd w:id="24"/>
      <w:bookmarkEnd w:id="25"/>
      <w:bookmarkEnd w:id="29"/>
    </w:p>
    <w:p w14:paraId="0E7B4CC6" w14:textId="77777777" w:rsidR="007F3E43" w:rsidRPr="00E14AA0" w:rsidRDefault="007F3E43" w:rsidP="00330C2E">
      <w:pPr>
        <w:pStyle w:val="Nadpis2"/>
      </w:pPr>
      <w:bookmarkStart w:id="30" w:name="_Toc26771914"/>
      <w:r w:rsidRPr="00E14AA0">
        <w:t>Úvod</w:t>
      </w:r>
      <w:bookmarkEnd w:id="30"/>
    </w:p>
    <w:p w14:paraId="0E7B4CC7" w14:textId="356FC119" w:rsidR="007F3E43" w:rsidRPr="00E14AA0" w:rsidRDefault="008F03C3" w:rsidP="007F3E43">
      <w:pPr>
        <w:pStyle w:val="normln0"/>
        <w:spacing w:line="360" w:lineRule="auto"/>
        <w:ind w:left="720"/>
        <w:rPr>
          <w:rFonts w:ascii="Arial" w:hAnsi="Arial"/>
          <w:sz w:val="19"/>
          <w:szCs w:val="24"/>
          <w:lang w:eastAsia="en-US"/>
        </w:rPr>
      </w:pPr>
      <w:r>
        <w:rPr>
          <w:rFonts w:ascii="Arial" w:hAnsi="Arial"/>
          <w:sz w:val="19"/>
          <w:szCs w:val="24"/>
          <w:lang w:eastAsia="en-US"/>
        </w:rPr>
        <w:t xml:space="preserve">Na hale je instalován stávající systém </w:t>
      </w:r>
      <w:r w:rsidR="007F3E43" w:rsidRPr="00E14AA0">
        <w:rPr>
          <w:rFonts w:ascii="Arial" w:hAnsi="Arial"/>
          <w:sz w:val="19"/>
          <w:szCs w:val="24"/>
          <w:lang w:eastAsia="en-US"/>
        </w:rPr>
        <w:t>nouzového a bezpečnostního osvětlení</w:t>
      </w:r>
      <w:r>
        <w:rPr>
          <w:rFonts w:ascii="Arial" w:hAnsi="Arial"/>
          <w:sz w:val="19"/>
          <w:szCs w:val="24"/>
          <w:lang w:eastAsia="en-US"/>
        </w:rPr>
        <w:t xml:space="preserve">, který </w:t>
      </w:r>
      <w:r w:rsidR="007F3E43" w:rsidRPr="00E14AA0">
        <w:rPr>
          <w:rFonts w:ascii="Arial" w:hAnsi="Arial"/>
          <w:sz w:val="19"/>
          <w:szCs w:val="24"/>
          <w:lang w:eastAsia="en-US"/>
        </w:rPr>
        <w:t xml:space="preserve">vychází z obecně platných norem a nařízení pro tuto </w:t>
      </w:r>
      <w:proofErr w:type="gramStart"/>
      <w:r w:rsidR="007F3E43" w:rsidRPr="00E14AA0">
        <w:rPr>
          <w:rFonts w:ascii="Arial" w:hAnsi="Arial"/>
          <w:sz w:val="19"/>
          <w:szCs w:val="24"/>
          <w:lang w:eastAsia="en-US"/>
        </w:rPr>
        <w:t>oblast</w:t>
      </w:r>
      <w:proofErr w:type="gramEnd"/>
      <w:r w:rsidR="007F3E43" w:rsidRPr="00E14AA0">
        <w:rPr>
          <w:rFonts w:ascii="Arial" w:hAnsi="Arial"/>
          <w:sz w:val="19"/>
          <w:szCs w:val="24"/>
          <w:lang w:eastAsia="en-US"/>
        </w:rPr>
        <w:t xml:space="preserve"> a zvláště pak s přihlédnutím k následujícím skutečnostem:</w:t>
      </w:r>
    </w:p>
    <w:p w14:paraId="0E7B4CC8" w14:textId="4874D346" w:rsidR="007F3E43" w:rsidRPr="00E14AA0" w:rsidRDefault="007F3E43" w:rsidP="007F3E43">
      <w:pPr>
        <w:pStyle w:val="normln0"/>
        <w:spacing w:line="360" w:lineRule="auto"/>
        <w:ind w:left="720"/>
        <w:rPr>
          <w:rFonts w:ascii="Arial" w:hAnsi="Arial"/>
          <w:sz w:val="19"/>
          <w:szCs w:val="24"/>
          <w:lang w:eastAsia="en-US"/>
        </w:rPr>
      </w:pPr>
      <w:r w:rsidRPr="00E14AA0">
        <w:rPr>
          <w:rFonts w:ascii="Arial" w:hAnsi="Arial"/>
          <w:sz w:val="19"/>
          <w:szCs w:val="24"/>
          <w:lang w:eastAsia="en-US"/>
        </w:rPr>
        <w:t>požárně bezpečnostní řešení jednotlivých požárních úseků, doba trvání osvětlení z baterií je 1 hodina</w:t>
      </w:r>
      <w:r>
        <w:rPr>
          <w:rFonts w:ascii="Arial" w:hAnsi="Arial"/>
          <w:sz w:val="19"/>
          <w:szCs w:val="24"/>
          <w:lang w:eastAsia="en-US"/>
        </w:rPr>
        <w:t>. V</w:t>
      </w:r>
      <w:r w:rsidRPr="00E14AA0">
        <w:rPr>
          <w:rFonts w:ascii="Arial" w:hAnsi="Arial"/>
          <w:sz w:val="19"/>
          <w:szCs w:val="24"/>
          <w:lang w:eastAsia="en-US"/>
        </w:rPr>
        <w:t xml:space="preserve">ýpočet hodnot osvětlení a stanovení počtu svítidel bylo navrženo v souladu s normou pro nouzové a bezpečnostní osvětlení ČSN EN 1838 (osy úniku 1 </w:t>
      </w:r>
      <w:proofErr w:type="spellStart"/>
      <w:r w:rsidRPr="00E14AA0">
        <w:rPr>
          <w:rFonts w:ascii="Arial" w:hAnsi="Arial"/>
          <w:sz w:val="19"/>
          <w:szCs w:val="24"/>
          <w:lang w:eastAsia="en-US"/>
        </w:rPr>
        <w:t>lx</w:t>
      </w:r>
      <w:proofErr w:type="spellEnd"/>
      <w:r w:rsidRPr="00E14AA0">
        <w:rPr>
          <w:rFonts w:ascii="Arial" w:hAnsi="Arial"/>
          <w:sz w:val="19"/>
          <w:szCs w:val="24"/>
          <w:lang w:eastAsia="en-US"/>
        </w:rPr>
        <w:t xml:space="preserve">, </w:t>
      </w:r>
      <w:proofErr w:type="spellStart"/>
      <w:r w:rsidRPr="00E14AA0">
        <w:rPr>
          <w:rFonts w:ascii="Arial" w:hAnsi="Arial"/>
          <w:sz w:val="19"/>
          <w:szCs w:val="24"/>
          <w:lang w:eastAsia="en-US"/>
        </w:rPr>
        <w:t>antipanické</w:t>
      </w:r>
      <w:proofErr w:type="spellEnd"/>
      <w:r w:rsidRPr="00E14AA0">
        <w:rPr>
          <w:rFonts w:ascii="Arial" w:hAnsi="Arial"/>
          <w:sz w:val="19"/>
          <w:szCs w:val="24"/>
          <w:lang w:eastAsia="en-US"/>
        </w:rPr>
        <w:t xml:space="preserve"> prostory 0,5 </w:t>
      </w:r>
      <w:proofErr w:type="spellStart"/>
      <w:r w:rsidRPr="00E14AA0">
        <w:rPr>
          <w:rFonts w:ascii="Arial" w:hAnsi="Arial"/>
          <w:sz w:val="19"/>
          <w:szCs w:val="24"/>
          <w:lang w:eastAsia="en-US"/>
        </w:rPr>
        <w:t>lx</w:t>
      </w:r>
      <w:proofErr w:type="spellEnd"/>
      <w:r w:rsidRPr="00E14AA0">
        <w:rPr>
          <w:rFonts w:ascii="Arial" w:hAnsi="Arial"/>
          <w:sz w:val="19"/>
          <w:szCs w:val="24"/>
          <w:lang w:eastAsia="en-US"/>
        </w:rPr>
        <w:t>)</w:t>
      </w:r>
      <w:r>
        <w:rPr>
          <w:rFonts w:ascii="Arial" w:hAnsi="Arial"/>
          <w:sz w:val="19"/>
          <w:szCs w:val="24"/>
          <w:lang w:eastAsia="en-US"/>
        </w:rPr>
        <w:t>. A</w:t>
      </w:r>
      <w:r w:rsidRPr="00E14AA0">
        <w:rPr>
          <w:rFonts w:ascii="Arial" w:hAnsi="Arial"/>
          <w:sz w:val="19"/>
          <w:szCs w:val="24"/>
          <w:lang w:eastAsia="en-US"/>
        </w:rPr>
        <w:t xml:space="preserve">by se předešlo </w:t>
      </w:r>
      <w:r>
        <w:rPr>
          <w:rFonts w:ascii="Arial" w:hAnsi="Arial"/>
          <w:sz w:val="19"/>
          <w:szCs w:val="24"/>
          <w:lang w:eastAsia="en-US"/>
        </w:rPr>
        <w:t>jsou</w:t>
      </w:r>
      <w:r w:rsidRPr="00E14AA0">
        <w:rPr>
          <w:rFonts w:ascii="Arial" w:hAnsi="Arial"/>
          <w:sz w:val="19"/>
          <w:szCs w:val="24"/>
          <w:lang w:eastAsia="en-US"/>
        </w:rPr>
        <w:t xml:space="preserve">cím zvýšeným nákladům na údržbu svítidel s vlastní baterií, jako zdroj napájení byl zvolen systém </w:t>
      </w:r>
      <w:r>
        <w:rPr>
          <w:rFonts w:ascii="Arial" w:hAnsi="Arial"/>
          <w:sz w:val="19"/>
          <w:szCs w:val="24"/>
          <w:lang w:eastAsia="en-US"/>
        </w:rPr>
        <w:t xml:space="preserve">jedné </w:t>
      </w:r>
      <w:r w:rsidRPr="00E14AA0">
        <w:rPr>
          <w:rFonts w:ascii="Arial" w:hAnsi="Arial"/>
          <w:sz w:val="19"/>
          <w:szCs w:val="24"/>
          <w:lang w:eastAsia="en-US"/>
        </w:rPr>
        <w:t>centrální bateriov</w:t>
      </w:r>
      <w:r>
        <w:rPr>
          <w:rFonts w:ascii="Arial" w:hAnsi="Arial"/>
          <w:sz w:val="19"/>
          <w:szCs w:val="24"/>
          <w:lang w:eastAsia="en-US"/>
        </w:rPr>
        <w:t>é</w:t>
      </w:r>
      <w:r w:rsidRPr="00E14AA0">
        <w:rPr>
          <w:rFonts w:ascii="Arial" w:hAnsi="Arial"/>
          <w:sz w:val="19"/>
          <w:szCs w:val="24"/>
          <w:lang w:eastAsia="en-US"/>
        </w:rPr>
        <w:t xml:space="preserve"> jednotk</w:t>
      </w:r>
      <w:r>
        <w:rPr>
          <w:rFonts w:ascii="Arial" w:hAnsi="Arial"/>
          <w:sz w:val="19"/>
          <w:szCs w:val="24"/>
          <w:lang w:eastAsia="en-US"/>
        </w:rPr>
        <w:t>y</w:t>
      </w:r>
      <w:r w:rsidRPr="00E14AA0">
        <w:rPr>
          <w:rFonts w:ascii="Arial" w:hAnsi="Arial"/>
          <w:sz w:val="19"/>
          <w:szCs w:val="24"/>
          <w:lang w:eastAsia="en-US"/>
        </w:rPr>
        <w:t xml:space="preserve"> napájení a kontroly nouzových svítidel</w:t>
      </w:r>
      <w:r w:rsidR="00072880">
        <w:rPr>
          <w:rFonts w:ascii="Arial" w:hAnsi="Arial"/>
          <w:sz w:val="19"/>
          <w:szCs w:val="24"/>
          <w:lang w:eastAsia="en-US"/>
        </w:rPr>
        <w:t>, jedná se o</w:t>
      </w:r>
      <w:r w:rsidR="008F03C3">
        <w:rPr>
          <w:rFonts w:ascii="Arial" w:hAnsi="Arial"/>
          <w:sz w:val="19"/>
          <w:szCs w:val="24"/>
          <w:lang w:eastAsia="en-US"/>
        </w:rPr>
        <w:t xml:space="preserve"> </w:t>
      </w:r>
      <w:r w:rsidR="00072880">
        <w:rPr>
          <w:rFonts w:ascii="Arial" w:hAnsi="Arial"/>
          <w:sz w:val="19"/>
          <w:szCs w:val="24"/>
          <w:lang w:eastAsia="en-US"/>
        </w:rPr>
        <w:t>stávající systém, který bude zachován</w:t>
      </w:r>
      <w:r w:rsidR="008F03C3">
        <w:rPr>
          <w:rFonts w:ascii="Arial" w:hAnsi="Arial"/>
          <w:sz w:val="19"/>
          <w:szCs w:val="24"/>
          <w:lang w:eastAsia="en-US"/>
        </w:rPr>
        <w:t>, budou pouze vyměněna svítidla v místech stávajících pozic</w:t>
      </w:r>
    </w:p>
    <w:p w14:paraId="0E7B4CD8" w14:textId="77777777" w:rsidR="007F3E43" w:rsidRPr="00012070" w:rsidRDefault="007F3E43" w:rsidP="007F3E43">
      <w:pPr>
        <w:pStyle w:val="normln0"/>
        <w:spacing w:line="360" w:lineRule="auto"/>
        <w:ind w:left="720"/>
        <w:rPr>
          <w:rFonts w:ascii="Arial" w:hAnsi="Arial"/>
          <w:sz w:val="19"/>
          <w:szCs w:val="24"/>
          <w:lang w:eastAsia="en-US"/>
        </w:rPr>
      </w:pPr>
    </w:p>
    <w:p w14:paraId="0E7B4CDA" w14:textId="77777777" w:rsidR="00B02FB3" w:rsidRPr="006327A8" w:rsidRDefault="00B02FB3" w:rsidP="00B02FB3">
      <w:pPr>
        <w:pStyle w:val="Nadpis1"/>
      </w:pPr>
      <w:bookmarkStart w:id="31" w:name="_Toc26771915"/>
      <w:r>
        <w:t>Trasy kabelového rozvodu</w:t>
      </w:r>
      <w:bookmarkEnd w:id="31"/>
    </w:p>
    <w:p w14:paraId="0E7B4CDB" w14:textId="7817725F" w:rsidR="00B02FB3" w:rsidRPr="004404EA" w:rsidRDefault="00087281" w:rsidP="00087281">
      <w:pPr>
        <w:tabs>
          <w:tab w:val="left" w:pos="0"/>
        </w:tabs>
      </w:pPr>
      <w:r>
        <w:t>Detailní popis kabelových tras je zřejmý z výkresové dokumentace. Jedná s</w:t>
      </w:r>
      <w:r w:rsidR="00072880">
        <w:t>e převážně o kombinaci</w:t>
      </w:r>
      <w:r>
        <w:t xml:space="preserve"> kabelových žlabů,</w:t>
      </w:r>
      <w:r w:rsidR="00EC0381">
        <w:t xml:space="preserve"> </w:t>
      </w:r>
      <w:r w:rsidR="006F3BE5">
        <w:t xml:space="preserve">nebo </w:t>
      </w:r>
      <w:r w:rsidR="00072880">
        <w:t xml:space="preserve">žebříků </w:t>
      </w:r>
      <w:r w:rsidR="00EC0381">
        <w:t>kotvených ke stávaj</w:t>
      </w:r>
      <w:r w:rsidR="00072880">
        <w:t xml:space="preserve">ícímu zdivu </w:t>
      </w:r>
      <w:r w:rsidR="00EC0381">
        <w:t xml:space="preserve">nebo ocelové konstrukci pochozích lávek. </w:t>
      </w:r>
      <w:r w:rsidR="006179A8">
        <w:t xml:space="preserve">Svítidla budou kotvena přímo k trasám </w:t>
      </w:r>
      <w:r w:rsidR="00CC7D44">
        <w:t>nebo stávajícím konstrukcím.</w:t>
      </w:r>
    </w:p>
    <w:p w14:paraId="0E7B4CDC" w14:textId="77777777" w:rsidR="00B02FB3" w:rsidRDefault="00B02FB3" w:rsidP="00B02FB3">
      <w:pPr>
        <w:spacing w:line="360" w:lineRule="auto"/>
        <w:rPr>
          <w:rFonts w:cs="Arial"/>
          <w:szCs w:val="19"/>
        </w:rPr>
      </w:pPr>
    </w:p>
    <w:p w14:paraId="0E7B4CDD" w14:textId="77777777" w:rsidR="009B5282" w:rsidRDefault="009B5282" w:rsidP="009B5282">
      <w:pPr>
        <w:pStyle w:val="Nadpis1"/>
      </w:pPr>
      <w:bookmarkStart w:id="32" w:name="_Toc26771916"/>
      <w:r>
        <w:lastRenderedPageBreak/>
        <w:t>Demontáže</w:t>
      </w:r>
      <w:bookmarkEnd w:id="32"/>
    </w:p>
    <w:p w14:paraId="0E7B4CDE" w14:textId="26E4290C" w:rsidR="009B5282" w:rsidRDefault="009B5282" w:rsidP="009B5282">
      <w:pPr>
        <w:tabs>
          <w:tab w:val="left" w:pos="0"/>
        </w:tabs>
        <w:jc w:val="left"/>
      </w:pPr>
      <w:r w:rsidRPr="009B5282">
        <w:t>Na hale budou demontovány tyto prvky:</w:t>
      </w:r>
      <w:r w:rsidRPr="009B5282">
        <w:br/>
        <w:t xml:space="preserve"> - všechna svítidla, včetně jejich mechanického kotvení</w:t>
      </w:r>
      <w:r w:rsidRPr="009B5282">
        <w:br/>
        <w:t>- veškerá napájecí a ovládací kabel</w:t>
      </w:r>
      <w:r w:rsidR="00072880">
        <w:t>áž ke svítidlům</w:t>
      </w:r>
      <w:r w:rsidR="00B900B4">
        <w:t xml:space="preserve"> napájeným </w:t>
      </w:r>
      <w:r w:rsidR="00072880">
        <w:t xml:space="preserve">z rozváděče </w:t>
      </w:r>
      <w:r w:rsidR="00CC7D44">
        <w:t>RSX1</w:t>
      </w:r>
    </w:p>
    <w:p w14:paraId="0E7B4CDF" w14:textId="77777777" w:rsidR="009B5282" w:rsidRDefault="009B5282" w:rsidP="009B5282">
      <w:pPr>
        <w:tabs>
          <w:tab w:val="left" w:pos="0"/>
        </w:tabs>
        <w:jc w:val="left"/>
      </w:pPr>
      <w:r>
        <w:t>- stávající kabelové trasy ke stávajícím svítidlům</w:t>
      </w:r>
    </w:p>
    <w:p w14:paraId="0E7B4CE0" w14:textId="445A5369" w:rsidR="009B5282" w:rsidRPr="009B5282" w:rsidRDefault="00072880" w:rsidP="009B5282">
      <w:pPr>
        <w:tabs>
          <w:tab w:val="left" w:pos="0"/>
        </w:tabs>
      </w:pPr>
      <w:r>
        <w:br/>
        <w:t xml:space="preserve"> </w:t>
      </w:r>
      <w:r w:rsidR="00642B7E">
        <w:t>R</w:t>
      </w:r>
      <w:r>
        <w:t>ozva</w:t>
      </w:r>
      <w:r w:rsidR="009B5282" w:rsidRPr="009B5282">
        <w:t>děč R</w:t>
      </w:r>
      <w:r>
        <w:t>SX1</w:t>
      </w:r>
      <w:r w:rsidR="009B5282" w:rsidRPr="009B5282">
        <w:t xml:space="preserve"> bude </w:t>
      </w:r>
      <w:r>
        <w:t xml:space="preserve">přezbrojen, doplněn o systém DALI a </w:t>
      </w:r>
      <w:r w:rsidR="00F76473">
        <w:t xml:space="preserve">bude z něho </w:t>
      </w:r>
      <w:r>
        <w:t>demontován stávající systém</w:t>
      </w:r>
      <w:r w:rsidR="00394F59">
        <w:t xml:space="preserve"> </w:t>
      </w:r>
      <w:proofErr w:type="gramStart"/>
      <w:r w:rsidR="00394F59">
        <w:t xml:space="preserve">řízení </w:t>
      </w:r>
      <w:r>
        <w:t xml:space="preserve"> osvětlení</w:t>
      </w:r>
      <w:proofErr w:type="gramEnd"/>
      <w:r>
        <w:t>.</w:t>
      </w:r>
      <w:r w:rsidR="009B5282" w:rsidRPr="009B5282">
        <w:t xml:space="preserve">  </w:t>
      </w:r>
    </w:p>
    <w:p w14:paraId="0E7B4CE1" w14:textId="77777777" w:rsidR="009B5282" w:rsidRPr="00B02FB3" w:rsidRDefault="009B5282" w:rsidP="009B5282">
      <w:pPr>
        <w:rPr>
          <w:szCs w:val="19"/>
        </w:rPr>
      </w:pPr>
    </w:p>
    <w:p w14:paraId="0E7B4CE2" w14:textId="77777777" w:rsidR="00573622" w:rsidRPr="007A3015" w:rsidRDefault="00573622" w:rsidP="00573622">
      <w:pPr>
        <w:pStyle w:val="Nadpis1"/>
      </w:pPr>
      <w:bookmarkStart w:id="33" w:name="_Toc336929810"/>
      <w:bookmarkStart w:id="34" w:name="_Toc338596112"/>
      <w:bookmarkStart w:id="35" w:name="_Toc341796525"/>
      <w:bookmarkStart w:id="36" w:name="_Toc26771917"/>
      <w:bookmarkStart w:id="37" w:name="_Toc336603078"/>
      <w:r w:rsidRPr="007A3015">
        <w:t>Bezpečnost a ochrana zdraví</w:t>
      </w:r>
      <w:bookmarkEnd w:id="33"/>
      <w:bookmarkEnd w:id="34"/>
      <w:bookmarkEnd w:id="35"/>
      <w:bookmarkEnd w:id="36"/>
    </w:p>
    <w:p w14:paraId="0E7B4CE3" w14:textId="77777777" w:rsidR="00573622" w:rsidRPr="007A3015" w:rsidRDefault="00573622" w:rsidP="00573622">
      <w:pPr>
        <w:pStyle w:val="Nadpis2"/>
      </w:pPr>
      <w:bookmarkStart w:id="38" w:name="_Toc336929811"/>
      <w:bookmarkStart w:id="39" w:name="_Toc338596113"/>
      <w:bookmarkStart w:id="40" w:name="_Toc341796526"/>
      <w:bookmarkStart w:id="41" w:name="_Toc26771918"/>
      <w:bookmarkEnd w:id="37"/>
      <w:r w:rsidRPr="007A3015">
        <w:t>Zajištění bezpečnosti práce při výstavbě</w:t>
      </w:r>
      <w:bookmarkEnd w:id="38"/>
      <w:bookmarkEnd w:id="39"/>
      <w:bookmarkEnd w:id="40"/>
      <w:bookmarkEnd w:id="41"/>
    </w:p>
    <w:p w14:paraId="0E7B4CE4" w14:textId="77777777" w:rsidR="00573622" w:rsidRPr="007A3015" w:rsidRDefault="00573622" w:rsidP="00611718">
      <w:pPr>
        <w:tabs>
          <w:tab w:val="left" w:pos="0"/>
        </w:tabs>
      </w:pPr>
      <w:r w:rsidRPr="007A3015">
        <w:t>Veškeré činnosti, prováděné zhotovitelem stavebně montážních prací a prací souvisejících, budou vykonávány v souladu s: </w:t>
      </w:r>
    </w:p>
    <w:p w14:paraId="0E7B4CE5" w14:textId="77777777" w:rsidR="00573622" w:rsidRPr="007A3015" w:rsidRDefault="00573622" w:rsidP="00611718">
      <w:pPr>
        <w:tabs>
          <w:tab w:val="left" w:pos="142"/>
        </w:tabs>
        <w:ind w:left="142" w:hanging="142"/>
      </w:pPr>
      <w:r w:rsidRPr="007A3015">
        <w:t>- vyhláškou č. 48/1982 Sb. ve znění pozdějších předpisů, kterou se stanoví základní požadavky k zajištění bezpečnosti práce a technických zařízení</w:t>
      </w:r>
    </w:p>
    <w:p w14:paraId="0E7B4CE6" w14:textId="77777777" w:rsidR="00573622" w:rsidRDefault="00573622" w:rsidP="00611718">
      <w:pPr>
        <w:tabs>
          <w:tab w:val="left" w:pos="0"/>
        </w:tabs>
      </w:pPr>
      <w:r w:rsidRPr="007A3015">
        <w:t>- platnými technickými normami, zejména ČSN EN 50 110-1 ed.2 a všemi souvisejícími normami.</w:t>
      </w:r>
    </w:p>
    <w:p w14:paraId="0E7B4CE7" w14:textId="77777777" w:rsidR="00611718" w:rsidRPr="007A3015" w:rsidRDefault="00611718" w:rsidP="00611718">
      <w:pPr>
        <w:tabs>
          <w:tab w:val="left" w:pos="0"/>
        </w:tabs>
      </w:pPr>
    </w:p>
    <w:p w14:paraId="0E7B4CE8" w14:textId="77777777" w:rsidR="00611718" w:rsidRDefault="00573622" w:rsidP="00611718">
      <w:pPr>
        <w:tabs>
          <w:tab w:val="left" w:pos="0"/>
        </w:tabs>
      </w:pPr>
      <w:r w:rsidRPr="007A3015">
        <w:t xml:space="preserve">El. </w:t>
      </w:r>
      <w:proofErr w:type="gramStart"/>
      <w:r w:rsidRPr="007A3015">
        <w:t>zařízení  musí</w:t>
      </w:r>
      <w:proofErr w:type="gramEnd"/>
      <w:r w:rsidRPr="007A3015">
        <w:t xml:space="preserve"> splňovat požadavky stanovené ČSN 33 2000-4-41 ed.2 a </w:t>
      </w:r>
      <w:r>
        <w:t xml:space="preserve">požadavky </w:t>
      </w:r>
      <w:r w:rsidRPr="007A3015">
        <w:t>vše</w:t>
      </w:r>
      <w:r>
        <w:t>ch</w:t>
      </w:r>
      <w:r w:rsidRPr="007A3015">
        <w:t xml:space="preserve"> související</w:t>
      </w:r>
      <w:r>
        <w:t>ch</w:t>
      </w:r>
      <w:r w:rsidRPr="007A3015">
        <w:t xml:space="preserve"> nor</w:t>
      </w:r>
      <w:r>
        <w:t>em</w:t>
      </w:r>
      <w:r w:rsidRPr="007A3015">
        <w:t>.</w:t>
      </w:r>
      <w:r w:rsidR="00611718">
        <w:t xml:space="preserve"> </w:t>
      </w:r>
      <w:r w:rsidRPr="007A3015">
        <w:t xml:space="preserve">Vedoucí montážní skupiny musí mít kvalifikaci nejméně dle § 8 Vyhlášky 50/1978 Sb. </w:t>
      </w:r>
    </w:p>
    <w:p w14:paraId="0E7B4CE9" w14:textId="77777777" w:rsidR="00573622" w:rsidRDefault="00573622" w:rsidP="00611718">
      <w:pPr>
        <w:tabs>
          <w:tab w:val="left" w:pos="0"/>
        </w:tabs>
        <w:rPr>
          <w:color w:val="000000"/>
        </w:rPr>
      </w:pPr>
      <w:r w:rsidRPr="007A3015">
        <w:t>Při práci je nutné používat předepsané ochranné a pracovní pomůcky.</w:t>
      </w:r>
      <w:r w:rsidR="00611718">
        <w:t xml:space="preserve"> </w:t>
      </w:r>
      <w:r w:rsidRPr="007A3015">
        <w:rPr>
          <w:color w:val="000000"/>
        </w:rPr>
        <w:t xml:space="preserve">Při práci na elektrotechnických zařízeních je nutné dodržovat požadavky </w:t>
      </w:r>
      <w:r w:rsidR="007F231F">
        <w:rPr>
          <w:color w:val="000000"/>
        </w:rPr>
        <w:t xml:space="preserve">souboru norem </w:t>
      </w:r>
      <w:r w:rsidRPr="007A3015">
        <w:rPr>
          <w:color w:val="000000"/>
        </w:rPr>
        <w:t>ČSN 33 2000-</w:t>
      </w:r>
      <w:smartTag w:uri="urn:schemas-microsoft-com:office:smarttags" w:element="metricconverter">
        <w:smartTagPr>
          <w:attr w:name="ProductID" w:val="4 a"/>
        </w:smartTagPr>
        <w:r w:rsidRPr="007A3015">
          <w:rPr>
            <w:color w:val="000000"/>
          </w:rPr>
          <w:t>4 a</w:t>
        </w:r>
      </w:smartTag>
      <w:r w:rsidRPr="007A3015">
        <w:rPr>
          <w:color w:val="000000"/>
        </w:rPr>
        <w:t xml:space="preserve"> souvisejících předpisů a ČSN. Pracovníci montážních čet musí být prokazatelně proškoleni z příslušných předpisů a norem ČSN. Pracoviště musí být příslušně vymezeno a opatřeno zábranami a výstrahami. Před uvedením do provozu musí být provedena na el. zařízení vý</w:t>
      </w:r>
      <w:r w:rsidR="00B437BF">
        <w:rPr>
          <w:color w:val="000000"/>
        </w:rPr>
        <w:t>chozí revize dle ČSN 33 2000-6.</w:t>
      </w:r>
    </w:p>
    <w:p w14:paraId="0E7B4CEA" w14:textId="77777777" w:rsidR="00B437BF" w:rsidRPr="007A3015" w:rsidRDefault="00B437BF" w:rsidP="00611718">
      <w:pPr>
        <w:tabs>
          <w:tab w:val="left" w:pos="0"/>
        </w:tabs>
        <w:rPr>
          <w:color w:val="000000"/>
        </w:rPr>
      </w:pPr>
    </w:p>
    <w:p w14:paraId="0E7B4CEB" w14:textId="77777777" w:rsidR="00573622" w:rsidRPr="007A3015" w:rsidRDefault="00573622" w:rsidP="00573622">
      <w:pPr>
        <w:pStyle w:val="Nadpis2"/>
      </w:pPr>
      <w:bookmarkStart w:id="42" w:name="_Toc336929812"/>
      <w:bookmarkStart w:id="43" w:name="_Toc338596114"/>
      <w:bookmarkStart w:id="44" w:name="_Toc341796527"/>
      <w:bookmarkStart w:id="45" w:name="_Toc26771919"/>
      <w:bookmarkStart w:id="46" w:name="_Toc157921362"/>
      <w:r w:rsidRPr="007A3015">
        <w:t>Provoz a údržba zařízení</w:t>
      </w:r>
      <w:bookmarkEnd w:id="42"/>
      <w:bookmarkEnd w:id="43"/>
      <w:bookmarkEnd w:id="44"/>
      <w:bookmarkEnd w:id="45"/>
    </w:p>
    <w:bookmarkEnd w:id="46"/>
    <w:p w14:paraId="0E7B4CEC" w14:textId="77777777" w:rsidR="00573622" w:rsidRDefault="00573622" w:rsidP="00573622">
      <w:r w:rsidRPr="007A3015">
        <w:t xml:space="preserve">Obsluha a práce na elektrickém zařízení musí být prováděna dle ČSN EN 50110-1 ed.2 a dle pokynů výrobce. Na el. zařízení musí být provedena výchozí revize ve smyslu ČSN 33 </w:t>
      </w:r>
      <w:smartTag w:uri="urn:schemas-microsoft-com:office:smarttags" w:element="metricconverter">
        <w:smartTagPr>
          <w:attr w:name="ProductID" w:val="1500 a"/>
        </w:smartTagPr>
        <w:r w:rsidRPr="007A3015">
          <w:t>1500 a</w:t>
        </w:r>
      </w:smartTag>
      <w:r w:rsidRPr="007A3015">
        <w:t xml:space="preserve"> ČSN 33 2000-6. Jsou-li výsledky revize příznivé, uvede se zařízení do provozu a stanoví se provozní podmínky. O revizi musí být vystaven protokol. Výchozí revizi zajistí dodavatel, další revize provozovatel ve lhůtách stanovených revizním technikem.</w:t>
      </w:r>
    </w:p>
    <w:p w14:paraId="0E7B4CED" w14:textId="77777777" w:rsidR="00573622" w:rsidRPr="007A3015" w:rsidRDefault="00573622" w:rsidP="00573622">
      <w:pPr>
        <w:rPr>
          <w:color w:val="000000"/>
        </w:rPr>
      </w:pPr>
      <w:r>
        <w:t xml:space="preserve">Zařízení musí být průběžně a pravidelně udržováno ve vyhovujícím technickém stavu. </w:t>
      </w:r>
      <w:r w:rsidRPr="007A3015">
        <w:rPr>
          <w:color w:val="000000"/>
        </w:rPr>
        <w:t>Elektrické zařízení musí být po dobu svého provozu podrobováno pravidelným předepsaným revizím. Zpráva o výsledku revize je pro provozovatele závazná. Provozovatel musí zajistit odstranění závad nebo provést prozatímní bezpečnostní opatření ve stanovené lhůtě. Nemůže-li závady bezprostředně ohrožující zdraví odstranit, musí příslušné zařízení odpojit.</w:t>
      </w:r>
    </w:p>
    <w:p w14:paraId="0E7B4CEE" w14:textId="77777777" w:rsidR="00573622" w:rsidRPr="007A3015" w:rsidRDefault="00573622" w:rsidP="00573622"/>
    <w:p w14:paraId="0E7B4CEF" w14:textId="77777777" w:rsidR="00573622" w:rsidRPr="007A3015" w:rsidRDefault="00573622" w:rsidP="00573622">
      <w:pPr>
        <w:pStyle w:val="Nadpis2"/>
      </w:pPr>
      <w:bookmarkStart w:id="47" w:name="_Toc336929813"/>
      <w:bookmarkStart w:id="48" w:name="_Toc338596115"/>
      <w:bookmarkStart w:id="49" w:name="_Toc341796528"/>
      <w:bookmarkStart w:id="50" w:name="_Toc26771920"/>
      <w:bookmarkStart w:id="51" w:name="_Toc157921363"/>
      <w:r w:rsidRPr="007A3015">
        <w:t>Protipožární opatření</w:t>
      </w:r>
      <w:bookmarkEnd w:id="47"/>
      <w:bookmarkEnd w:id="48"/>
      <w:bookmarkEnd w:id="49"/>
      <w:bookmarkEnd w:id="50"/>
    </w:p>
    <w:bookmarkEnd w:id="51"/>
    <w:p w14:paraId="0E7B4CF0" w14:textId="77777777" w:rsidR="00573622" w:rsidRPr="007A3015" w:rsidRDefault="00573622" w:rsidP="00573622">
      <w:r w:rsidRPr="00C516AF">
        <w:t xml:space="preserve">Protipožární zabezpečení stavby musí odpovídat zákonu č. 67/2001 Sb. o požární ochraně ve znění pozdějších předpisů. Při veškerých činnostech prováděných zhotovitelem stavebně montážních prací a prací souvisejících budou respektovány podmínky stanovené zákonem č. 91/1995Sb., o požární ochraně, ve znění pozdějších </w:t>
      </w:r>
      <w:r w:rsidRPr="00C516AF">
        <w:lastRenderedPageBreak/>
        <w:t>předpisů a vyhláškou č. 246/2001 Sb. o stanovení podmínek požární bezpečnosti a výkonu státního požárního dozoru (vyhláška o požární prevenci).</w:t>
      </w:r>
    </w:p>
    <w:p w14:paraId="0E7B4CF1" w14:textId="77777777" w:rsidR="00573622" w:rsidRPr="007A3015" w:rsidRDefault="00573622" w:rsidP="00573622"/>
    <w:p w14:paraId="0E7B4CF2" w14:textId="77777777" w:rsidR="00573622" w:rsidRPr="007A3015" w:rsidRDefault="00573622" w:rsidP="00573622">
      <w:pPr>
        <w:pStyle w:val="Nadpis2"/>
      </w:pPr>
      <w:bookmarkStart w:id="52" w:name="_Toc336929814"/>
      <w:bookmarkStart w:id="53" w:name="_Toc338596116"/>
      <w:bookmarkStart w:id="54" w:name="_Toc341796529"/>
      <w:bookmarkStart w:id="55" w:name="_Toc26771921"/>
      <w:bookmarkStart w:id="56" w:name="_Toc157921364"/>
      <w:bookmarkStart w:id="57" w:name="_Toc159209952"/>
      <w:bookmarkStart w:id="58" w:name="_Toc179009848"/>
      <w:r w:rsidRPr="007A3015">
        <w:t>Ochrana životního a pracovního prostředí</w:t>
      </w:r>
      <w:bookmarkEnd w:id="52"/>
      <w:bookmarkEnd w:id="53"/>
      <w:bookmarkEnd w:id="54"/>
      <w:bookmarkEnd w:id="55"/>
    </w:p>
    <w:bookmarkEnd w:id="56"/>
    <w:bookmarkEnd w:id="57"/>
    <w:bookmarkEnd w:id="58"/>
    <w:p w14:paraId="0E7B4CF3" w14:textId="77777777" w:rsidR="00573622" w:rsidRPr="007A3015" w:rsidRDefault="00573622" w:rsidP="00573622">
      <w:pPr>
        <w:tabs>
          <w:tab w:val="left" w:pos="0"/>
        </w:tabs>
      </w:pPr>
      <w:r w:rsidRPr="007A3015">
        <w:t>Veškeré činnosti prováděné zhotovitelem stavebně montážních prací a prací souvisejících budou vykonávány při dodržení podmínek a požadavků stanovených zejména následujícími zákony a vyhláškami:</w:t>
      </w:r>
    </w:p>
    <w:p w14:paraId="0E7B4CF4" w14:textId="77777777" w:rsidR="00573622" w:rsidRPr="007A3015" w:rsidRDefault="00573622" w:rsidP="00573622">
      <w:pPr>
        <w:tabs>
          <w:tab w:val="left" w:pos="0"/>
        </w:tabs>
      </w:pPr>
      <w:r w:rsidRPr="007A3015">
        <w:t>Zákon č. 334/1992 Sb. o ochraně zemědělského půdního fondu, ve znění pozdějších předpisů</w:t>
      </w:r>
    </w:p>
    <w:p w14:paraId="0E7B4CF5" w14:textId="77777777" w:rsidR="00573622" w:rsidRPr="007A3015" w:rsidRDefault="00573622" w:rsidP="00573622">
      <w:pPr>
        <w:tabs>
          <w:tab w:val="left" w:pos="0"/>
        </w:tabs>
      </w:pPr>
      <w:r w:rsidRPr="007A3015">
        <w:t>Zákon č. 114/1992 Sb. o ochraně přírody a krajiny, ve znění pozdějších předpisů</w:t>
      </w:r>
    </w:p>
    <w:p w14:paraId="0E7B4CF6" w14:textId="77777777" w:rsidR="00573622" w:rsidRPr="007A3015" w:rsidRDefault="00573622" w:rsidP="00573622">
      <w:pPr>
        <w:tabs>
          <w:tab w:val="left" w:pos="0"/>
        </w:tabs>
      </w:pPr>
      <w:r w:rsidRPr="007A3015">
        <w:t>Zákon č. 289/1995 Sb. o lesích, ve znění pozdějších předpisů</w:t>
      </w:r>
    </w:p>
    <w:p w14:paraId="0E7B4CF7" w14:textId="77777777" w:rsidR="00573622" w:rsidRPr="007A3015" w:rsidRDefault="00573622" w:rsidP="00573622">
      <w:pPr>
        <w:tabs>
          <w:tab w:val="left" w:pos="0"/>
        </w:tabs>
      </w:pPr>
      <w:r w:rsidRPr="007A3015">
        <w:t>Zákon č. 254/2001 Sb. o vodách a změně některých zákonů (vodní zákon)</w:t>
      </w:r>
    </w:p>
    <w:p w14:paraId="0E7B4CF8" w14:textId="77777777" w:rsidR="00573622" w:rsidRPr="007A3015" w:rsidRDefault="00573622" w:rsidP="00573622">
      <w:pPr>
        <w:tabs>
          <w:tab w:val="left" w:pos="0"/>
        </w:tabs>
      </w:pPr>
      <w:r w:rsidRPr="007A3015">
        <w:t>Zákon č. 86/2002 Sb. o ochraně ovzduší a o změně některých dalších zákonů (zákon o ochraně ovzduší), ve znění pozdějších předpisů</w:t>
      </w:r>
    </w:p>
    <w:p w14:paraId="0E7B4CF9" w14:textId="77777777" w:rsidR="00573622" w:rsidRPr="007A3015" w:rsidRDefault="00573622" w:rsidP="00573622">
      <w:pPr>
        <w:tabs>
          <w:tab w:val="left" w:pos="0"/>
        </w:tabs>
      </w:pPr>
      <w:r w:rsidRPr="007A3015">
        <w:t>Zákon č. 185/2001 Sb. o odpadech a o změně některých dalších zákonů</w:t>
      </w:r>
    </w:p>
    <w:p w14:paraId="0E7B4CFA" w14:textId="77777777" w:rsidR="00573622" w:rsidRDefault="00573622" w:rsidP="00573622">
      <w:pPr>
        <w:tabs>
          <w:tab w:val="left" w:pos="0"/>
        </w:tabs>
      </w:pPr>
      <w:r w:rsidRPr="007A3015">
        <w:t>Vyhláška č.383/2001 Sb., o p</w:t>
      </w:r>
      <w:r>
        <w:t>odrobnostech nakládání s odpady</w:t>
      </w:r>
    </w:p>
    <w:p w14:paraId="0E7B4CFB" w14:textId="77777777" w:rsidR="00573622" w:rsidRPr="007A3015" w:rsidRDefault="00573622" w:rsidP="00573622">
      <w:pPr>
        <w:tabs>
          <w:tab w:val="left" w:pos="0"/>
        </w:tabs>
      </w:pPr>
    </w:p>
    <w:p w14:paraId="0E7B4CFC" w14:textId="77777777" w:rsidR="00573622" w:rsidRPr="007A3015" w:rsidRDefault="00573622" w:rsidP="00573622">
      <w:pPr>
        <w:tabs>
          <w:tab w:val="left" w:pos="0"/>
        </w:tabs>
      </w:pPr>
      <w:r w:rsidRPr="007A3015">
        <w:t>V průběhu stavebních a montážních prací budou provedena taková opatření, aby nedošlo k porušení zákona o odpadech č. 185/2001 Sb</w:t>
      </w:r>
      <w:r>
        <w:t xml:space="preserve">., ve znění pozdějších předpisů. </w:t>
      </w:r>
      <w:r w:rsidRPr="007A3015">
        <w:t>Stavební odpad bude odvážen na řízenou skládku a budou pořízeny doklady o uložení odpadů.</w:t>
      </w:r>
      <w:r>
        <w:t xml:space="preserve"> </w:t>
      </w:r>
      <w:r w:rsidRPr="007A3015">
        <w:t xml:space="preserve">Vytříděný odpad pocházející ze stavebně montážní činnosti bude shromažďován podle druhů v kontejnerech, sudech, zvláštních nádobách a obalech tak, aby bylo zabráněno jeho mísení nebo úniku do okolního prostoru. Odpady, které jsou klasifikovány jako odpady nebezpečné, budou shromažďovány odděleně podle druhů včetně označení nebezpečných odpadů identifikačním listem. Na zpevněných plochách k tomu určených budou odpady shromažďovány pouze po nevyhnutnou dobu do předání odpadu jinému subjektu k využití nebo zneškodnění na základě smlouvy uzavřené mezi původcem odpadu a odběratelem nebo </w:t>
      </w:r>
      <w:proofErr w:type="spellStart"/>
      <w:r w:rsidRPr="007A3015">
        <w:t>zneškodňovatelem</w:t>
      </w:r>
      <w:proofErr w:type="spellEnd"/>
      <w:r w:rsidRPr="007A3015">
        <w:t>.</w:t>
      </w:r>
    </w:p>
    <w:p w14:paraId="0E7B4CFD" w14:textId="77777777" w:rsidR="00573622" w:rsidRDefault="00573622" w:rsidP="00573622">
      <w:r w:rsidRPr="007A3015">
        <w:t>Seznam možných subjektů provádějících likvidaci odpadu bude uveden v příloze žádosti o "souhlas k nakládání a přepravě nebezpečných odpadů", který si vyžádá zástupce dodavatele stavby u referátu životního prostředí příslušného městského úřadu.</w:t>
      </w:r>
    </w:p>
    <w:p w14:paraId="0E7B4CFE" w14:textId="77777777" w:rsidR="0080538B" w:rsidRDefault="0080538B" w:rsidP="00573622"/>
    <w:p w14:paraId="0E7B4CFF" w14:textId="77777777" w:rsidR="00573622" w:rsidRDefault="00573622" w:rsidP="00573622">
      <w:r>
        <w:t>Při stavbě lze předpokládat vznik těchto odpadů:</w:t>
      </w:r>
    </w:p>
    <w:tbl>
      <w:tblPr>
        <w:tblW w:w="836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536"/>
        <w:gridCol w:w="1276"/>
        <w:gridCol w:w="1417"/>
      </w:tblGrid>
      <w:tr w:rsidR="00573622" w:rsidRPr="00C516AF" w14:paraId="0E7B4D04" w14:textId="77777777" w:rsidTr="0035268F">
        <w:trPr>
          <w:tblHeader/>
        </w:trPr>
        <w:tc>
          <w:tcPr>
            <w:tcW w:w="1134" w:type="dxa"/>
            <w:tcBorders>
              <w:bottom w:val="double" w:sz="4" w:space="0" w:color="auto"/>
            </w:tcBorders>
            <w:vAlign w:val="center"/>
          </w:tcPr>
          <w:p w14:paraId="0E7B4D00" w14:textId="77777777" w:rsidR="00573622" w:rsidRPr="00C516AF" w:rsidRDefault="00573622" w:rsidP="0035268F">
            <w:pPr>
              <w:pStyle w:val="TPOOdstavec"/>
              <w:rPr>
                <w:rFonts w:ascii="Arial" w:hAnsi="Arial" w:cs="Arial"/>
                <w:b/>
                <w:sz w:val="20"/>
              </w:rPr>
            </w:pPr>
            <w:r w:rsidRPr="00C516AF">
              <w:rPr>
                <w:rFonts w:ascii="Arial" w:hAnsi="Arial" w:cs="Arial"/>
                <w:b/>
                <w:sz w:val="20"/>
              </w:rPr>
              <w:t>Kód odpadu</w:t>
            </w:r>
          </w:p>
        </w:tc>
        <w:tc>
          <w:tcPr>
            <w:tcW w:w="4536" w:type="dxa"/>
            <w:tcBorders>
              <w:bottom w:val="double" w:sz="4" w:space="0" w:color="auto"/>
            </w:tcBorders>
            <w:vAlign w:val="center"/>
          </w:tcPr>
          <w:p w14:paraId="0E7B4D01" w14:textId="77777777" w:rsidR="00573622" w:rsidRPr="00C516AF" w:rsidRDefault="00573622" w:rsidP="0035268F">
            <w:pPr>
              <w:pStyle w:val="TPOOdstavec"/>
              <w:rPr>
                <w:rFonts w:ascii="Arial" w:hAnsi="Arial" w:cs="Arial"/>
                <w:b/>
                <w:sz w:val="20"/>
              </w:rPr>
            </w:pPr>
            <w:r w:rsidRPr="00C516AF">
              <w:rPr>
                <w:rFonts w:ascii="Arial" w:hAnsi="Arial" w:cs="Arial"/>
                <w:b/>
                <w:sz w:val="20"/>
              </w:rPr>
              <w:t>Druh odpadu</w:t>
            </w:r>
          </w:p>
        </w:tc>
        <w:tc>
          <w:tcPr>
            <w:tcW w:w="1276" w:type="dxa"/>
            <w:tcBorders>
              <w:bottom w:val="double" w:sz="4" w:space="0" w:color="auto"/>
            </w:tcBorders>
            <w:vAlign w:val="center"/>
          </w:tcPr>
          <w:p w14:paraId="0E7B4D02" w14:textId="77777777" w:rsidR="00573622" w:rsidRPr="00C516AF" w:rsidRDefault="00573622" w:rsidP="0035268F">
            <w:pPr>
              <w:pStyle w:val="TPOOdstavec"/>
              <w:jc w:val="center"/>
              <w:rPr>
                <w:rFonts w:ascii="Arial" w:hAnsi="Arial" w:cs="Arial"/>
                <w:b/>
                <w:sz w:val="20"/>
              </w:rPr>
            </w:pPr>
            <w:r w:rsidRPr="00C516AF">
              <w:rPr>
                <w:rFonts w:ascii="Arial" w:hAnsi="Arial" w:cs="Arial"/>
                <w:b/>
                <w:sz w:val="20"/>
              </w:rPr>
              <w:t>Kategorie</w:t>
            </w:r>
          </w:p>
        </w:tc>
        <w:tc>
          <w:tcPr>
            <w:tcW w:w="1417" w:type="dxa"/>
            <w:tcBorders>
              <w:bottom w:val="double" w:sz="4" w:space="0" w:color="auto"/>
            </w:tcBorders>
            <w:vAlign w:val="center"/>
          </w:tcPr>
          <w:p w14:paraId="0E7B4D03" w14:textId="77777777" w:rsidR="00573622" w:rsidRPr="00C516AF" w:rsidRDefault="00573622" w:rsidP="0035268F">
            <w:pPr>
              <w:pStyle w:val="TPOOdstavec"/>
              <w:jc w:val="center"/>
              <w:rPr>
                <w:rFonts w:ascii="Arial" w:hAnsi="Arial" w:cs="Arial"/>
                <w:b/>
                <w:sz w:val="20"/>
              </w:rPr>
            </w:pPr>
            <w:r>
              <w:rPr>
                <w:rFonts w:ascii="Arial" w:hAnsi="Arial" w:cs="Arial"/>
                <w:b/>
                <w:sz w:val="20"/>
              </w:rPr>
              <w:t>Způsob nakládání</w:t>
            </w:r>
          </w:p>
        </w:tc>
      </w:tr>
      <w:tr w:rsidR="00573622" w:rsidRPr="00C516AF" w14:paraId="0E7B4D09" w14:textId="77777777" w:rsidTr="0035268F">
        <w:tc>
          <w:tcPr>
            <w:tcW w:w="1134" w:type="dxa"/>
            <w:tcBorders>
              <w:top w:val="nil"/>
            </w:tcBorders>
            <w:vAlign w:val="center"/>
          </w:tcPr>
          <w:p w14:paraId="0E7B4D05" w14:textId="77777777" w:rsidR="00573622" w:rsidRPr="00C516AF" w:rsidRDefault="00573622" w:rsidP="0035268F">
            <w:pPr>
              <w:pStyle w:val="TPOOdstavec"/>
              <w:rPr>
                <w:rFonts w:ascii="Arial" w:hAnsi="Arial" w:cs="Arial"/>
                <w:sz w:val="20"/>
              </w:rPr>
            </w:pPr>
            <w:r w:rsidRPr="00C516AF">
              <w:rPr>
                <w:rFonts w:ascii="Arial" w:hAnsi="Arial" w:cs="Arial"/>
                <w:sz w:val="20"/>
              </w:rPr>
              <w:t>02 01 03</w:t>
            </w:r>
          </w:p>
        </w:tc>
        <w:tc>
          <w:tcPr>
            <w:tcW w:w="4536" w:type="dxa"/>
            <w:tcBorders>
              <w:top w:val="nil"/>
            </w:tcBorders>
            <w:vAlign w:val="center"/>
          </w:tcPr>
          <w:p w14:paraId="0E7B4D06" w14:textId="77777777" w:rsidR="00573622" w:rsidRPr="00C516AF" w:rsidRDefault="00573622" w:rsidP="0035268F">
            <w:pPr>
              <w:pStyle w:val="TPOOdstavec"/>
              <w:rPr>
                <w:rFonts w:ascii="Arial" w:hAnsi="Arial" w:cs="Arial"/>
                <w:sz w:val="20"/>
              </w:rPr>
            </w:pPr>
            <w:r w:rsidRPr="00C516AF">
              <w:rPr>
                <w:rFonts w:ascii="Arial" w:hAnsi="Arial" w:cs="Arial"/>
                <w:sz w:val="20"/>
              </w:rPr>
              <w:t>Odpad rostlinných pletiv</w:t>
            </w:r>
          </w:p>
        </w:tc>
        <w:tc>
          <w:tcPr>
            <w:tcW w:w="1276" w:type="dxa"/>
            <w:tcBorders>
              <w:top w:val="nil"/>
            </w:tcBorders>
            <w:vAlign w:val="center"/>
          </w:tcPr>
          <w:p w14:paraId="0E7B4D07"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O</w:t>
            </w:r>
          </w:p>
        </w:tc>
        <w:tc>
          <w:tcPr>
            <w:tcW w:w="1417" w:type="dxa"/>
            <w:tcBorders>
              <w:top w:val="nil"/>
            </w:tcBorders>
            <w:vAlign w:val="center"/>
          </w:tcPr>
          <w:p w14:paraId="0E7B4D08"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4</w:t>
            </w:r>
          </w:p>
        </w:tc>
      </w:tr>
      <w:tr w:rsidR="00573622" w:rsidRPr="00C516AF" w14:paraId="0E7B4D0E" w14:textId="77777777" w:rsidTr="0035268F">
        <w:tc>
          <w:tcPr>
            <w:tcW w:w="1134" w:type="dxa"/>
            <w:tcBorders>
              <w:top w:val="nil"/>
            </w:tcBorders>
            <w:vAlign w:val="center"/>
          </w:tcPr>
          <w:p w14:paraId="0E7B4D0A" w14:textId="77777777" w:rsidR="00573622" w:rsidRPr="00C516AF" w:rsidRDefault="00573622" w:rsidP="0035268F">
            <w:pPr>
              <w:pStyle w:val="TPOOdstavec"/>
              <w:rPr>
                <w:rFonts w:ascii="Arial" w:hAnsi="Arial" w:cs="Arial"/>
                <w:sz w:val="20"/>
              </w:rPr>
            </w:pPr>
            <w:r w:rsidRPr="00C516AF">
              <w:rPr>
                <w:rFonts w:ascii="Arial" w:hAnsi="Arial" w:cs="Arial"/>
                <w:sz w:val="20"/>
              </w:rPr>
              <w:t>17 01 01</w:t>
            </w:r>
          </w:p>
        </w:tc>
        <w:tc>
          <w:tcPr>
            <w:tcW w:w="4536" w:type="dxa"/>
            <w:tcBorders>
              <w:top w:val="nil"/>
            </w:tcBorders>
            <w:vAlign w:val="center"/>
          </w:tcPr>
          <w:p w14:paraId="0E7B4D0B" w14:textId="77777777" w:rsidR="00573622" w:rsidRPr="00C516AF" w:rsidRDefault="00573622" w:rsidP="0035268F">
            <w:pPr>
              <w:pStyle w:val="TPOOdstavec"/>
              <w:rPr>
                <w:rFonts w:ascii="Arial" w:hAnsi="Arial" w:cs="Arial"/>
                <w:sz w:val="20"/>
              </w:rPr>
            </w:pPr>
            <w:r w:rsidRPr="00C516AF">
              <w:rPr>
                <w:rFonts w:ascii="Arial" w:hAnsi="Arial" w:cs="Arial"/>
                <w:sz w:val="20"/>
              </w:rPr>
              <w:t>Beton</w:t>
            </w:r>
          </w:p>
        </w:tc>
        <w:tc>
          <w:tcPr>
            <w:tcW w:w="1276" w:type="dxa"/>
            <w:tcBorders>
              <w:top w:val="nil"/>
            </w:tcBorders>
            <w:vAlign w:val="center"/>
          </w:tcPr>
          <w:p w14:paraId="0E7B4D0C"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O</w:t>
            </w:r>
          </w:p>
        </w:tc>
        <w:tc>
          <w:tcPr>
            <w:tcW w:w="1417" w:type="dxa"/>
            <w:tcBorders>
              <w:top w:val="nil"/>
            </w:tcBorders>
            <w:vAlign w:val="center"/>
          </w:tcPr>
          <w:p w14:paraId="0E7B4D0D"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1</w:t>
            </w:r>
          </w:p>
        </w:tc>
      </w:tr>
      <w:tr w:rsidR="00573622" w:rsidRPr="00C516AF" w14:paraId="0E7B4D13" w14:textId="77777777" w:rsidTr="0035268F">
        <w:tc>
          <w:tcPr>
            <w:tcW w:w="1134" w:type="dxa"/>
            <w:vAlign w:val="center"/>
          </w:tcPr>
          <w:p w14:paraId="0E7B4D0F" w14:textId="77777777" w:rsidR="00573622" w:rsidRPr="00C516AF" w:rsidRDefault="00573622" w:rsidP="0035268F">
            <w:pPr>
              <w:pStyle w:val="TPOOdstavec"/>
              <w:rPr>
                <w:rFonts w:ascii="Arial" w:hAnsi="Arial" w:cs="Arial"/>
                <w:sz w:val="20"/>
              </w:rPr>
            </w:pPr>
            <w:r w:rsidRPr="00C516AF">
              <w:rPr>
                <w:rFonts w:ascii="Arial" w:hAnsi="Arial" w:cs="Arial"/>
                <w:sz w:val="20"/>
              </w:rPr>
              <w:t>17 01 02</w:t>
            </w:r>
          </w:p>
        </w:tc>
        <w:tc>
          <w:tcPr>
            <w:tcW w:w="4536" w:type="dxa"/>
            <w:vAlign w:val="center"/>
          </w:tcPr>
          <w:p w14:paraId="0E7B4D10" w14:textId="77777777" w:rsidR="00573622" w:rsidRPr="00C516AF" w:rsidRDefault="00573622" w:rsidP="0035268F">
            <w:pPr>
              <w:pStyle w:val="TPOOdstavec"/>
              <w:rPr>
                <w:rFonts w:ascii="Arial" w:hAnsi="Arial" w:cs="Arial"/>
                <w:sz w:val="20"/>
              </w:rPr>
            </w:pPr>
            <w:r w:rsidRPr="00C516AF">
              <w:rPr>
                <w:rFonts w:ascii="Arial" w:hAnsi="Arial" w:cs="Arial"/>
                <w:sz w:val="20"/>
              </w:rPr>
              <w:t>Cihly</w:t>
            </w:r>
          </w:p>
        </w:tc>
        <w:tc>
          <w:tcPr>
            <w:tcW w:w="1276" w:type="dxa"/>
            <w:vAlign w:val="center"/>
          </w:tcPr>
          <w:p w14:paraId="0E7B4D11"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O</w:t>
            </w:r>
          </w:p>
        </w:tc>
        <w:tc>
          <w:tcPr>
            <w:tcW w:w="1417" w:type="dxa"/>
            <w:vAlign w:val="center"/>
          </w:tcPr>
          <w:p w14:paraId="0E7B4D12"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1</w:t>
            </w:r>
          </w:p>
        </w:tc>
      </w:tr>
      <w:tr w:rsidR="00573622" w:rsidRPr="00C516AF" w14:paraId="0E7B4D18" w14:textId="77777777" w:rsidTr="0035268F">
        <w:tc>
          <w:tcPr>
            <w:tcW w:w="1134" w:type="dxa"/>
            <w:vAlign w:val="center"/>
          </w:tcPr>
          <w:p w14:paraId="0E7B4D14" w14:textId="77777777" w:rsidR="00573622" w:rsidRPr="00C516AF" w:rsidRDefault="00573622" w:rsidP="0035268F">
            <w:pPr>
              <w:pStyle w:val="TPOOdstavec"/>
              <w:rPr>
                <w:rFonts w:ascii="Arial" w:hAnsi="Arial" w:cs="Arial"/>
                <w:sz w:val="20"/>
              </w:rPr>
            </w:pPr>
            <w:r w:rsidRPr="00C516AF">
              <w:rPr>
                <w:rFonts w:ascii="Arial" w:hAnsi="Arial" w:cs="Arial"/>
                <w:sz w:val="20"/>
              </w:rPr>
              <w:t>17 01 07</w:t>
            </w:r>
          </w:p>
        </w:tc>
        <w:tc>
          <w:tcPr>
            <w:tcW w:w="4536" w:type="dxa"/>
            <w:vAlign w:val="center"/>
          </w:tcPr>
          <w:p w14:paraId="0E7B4D15" w14:textId="77777777" w:rsidR="00573622" w:rsidRPr="00C516AF" w:rsidRDefault="00573622" w:rsidP="0035268F">
            <w:pPr>
              <w:pStyle w:val="TPOOdstavec"/>
              <w:rPr>
                <w:rFonts w:ascii="Arial" w:hAnsi="Arial" w:cs="Arial"/>
                <w:sz w:val="20"/>
              </w:rPr>
            </w:pPr>
            <w:r w:rsidRPr="00C516AF">
              <w:rPr>
                <w:rFonts w:ascii="Arial" w:hAnsi="Arial" w:cs="Arial"/>
                <w:sz w:val="20"/>
              </w:rPr>
              <w:t>Směsi nebo oddělené frakce betonu, cihel, tašek a keramických výrobků</w:t>
            </w:r>
          </w:p>
        </w:tc>
        <w:tc>
          <w:tcPr>
            <w:tcW w:w="1276" w:type="dxa"/>
            <w:vAlign w:val="center"/>
          </w:tcPr>
          <w:p w14:paraId="0E7B4D16"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O</w:t>
            </w:r>
          </w:p>
        </w:tc>
        <w:tc>
          <w:tcPr>
            <w:tcW w:w="1417" w:type="dxa"/>
            <w:vAlign w:val="center"/>
          </w:tcPr>
          <w:p w14:paraId="0E7B4D17"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1</w:t>
            </w:r>
          </w:p>
        </w:tc>
      </w:tr>
      <w:tr w:rsidR="00573622" w:rsidRPr="00C516AF" w14:paraId="0E7B4D1D" w14:textId="77777777" w:rsidTr="0035268F">
        <w:tc>
          <w:tcPr>
            <w:tcW w:w="1134" w:type="dxa"/>
            <w:vAlign w:val="center"/>
          </w:tcPr>
          <w:p w14:paraId="0E7B4D19" w14:textId="77777777" w:rsidR="00573622" w:rsidRPr="00C516AF" w:rsidRDefault="00573622" w:rsidP="0035268F">
            <w:pPr>
              <w:pStyle w:val="TPOOdstavec"/>
              <w:rPr>
                <w:rFonts w:ascii="Arial" w:hAnsi="Arial" w:cs="Arial"/>
                <w:sz w:val="20"/>
              </w:rPr>
            </w:pPr>
            <w:r w:rsidRPr="00C516AF">
              <w:rPr>
                <w:rFonts w:ascii="Arial" w:hAnsi="Arial" w:cs="Arial"/>
                <w:sz w:val="20"/>
              </w:rPr>
              <w:t>17 02 01</w:t>
            </w:r>
          </w:p>
        </w:tc>
        <w:tc>
          <w:tcPr>
            <w:tcW w:w="4536" w:type="dxa"/>
            <w:vAlign w:val="center"/>
          </w:tcPr>
          <w:p w14:paraId="0E7B4D1A" w14:textId="77777777" w:rsidR="00573622" w:rsidRPr="00C516AF" w:rsidRDefault="00573622" w:rsidP="0035268F">
            <w:pPr>
              <w:pStyle w:val="TPOOdstavec"/>
              <w:rPr>
                <w:rFonts w:ascii="Arial" w:hAnsi="Arial" w:cs="Arial"/>
                <w:sz w:val="20"/>
              </w:rPr>
            </w:pPr>
            <w:r w:rsidRPr="00C516AF">
              <w:rPr>
                <w:rFonts w:ascii="Arial" w:hAnsi="Arial" w:cs="Arial"/>
                <w:sz w:val="20"/>
              </w:rPr>
              <w:t>Dřevo</w:t>
            </w:r>
          </w:p>
        </w:tc>
        <w:tc>
          <w:tcPr>
            <w:tcW w:w="1276" w:type="dxa"/>
            <w:vAlign w:val="center"/>
          </w:tcPr>
          <w:p w14:paraId="0E7B4D1B"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O</w:t>
            </w:r>
          </w:p>
        </w:tc>
        <w:tc>
          <w:tcPr>
            <w:tcW w:w="1417" w:type="dxa"/>
            <w:vAlign w:val="center"/>
          </w:tcPr>
          <w:p w14:paraId="0E7B4D1C"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2</w:t>
            </w:r>
          </w:p>
        </w:tc>
      </w:tr>
      <w:tr w:rsidR="00573622" w:rsidRPr="00C516AF" w14:paraId="0E7B4D22" w14:textId="77777777" w:rsidTr="0035268F">
        <w:tc>
          <w:tcPr>
            <w:tcW w:w="1134" w:type="dxa"/>
            <w:vAlign w:val="center"/>
          </w:tcPr>
          <w:p w14:paraId="0E7B4D1E" w14:textId="77777777" w:rsidR="00573622" w:rsidRPr="00C516AF" w:rsidRDefault="00573622" w:rsidP="0035268F">
            <w:pPr>
              <w:pStyle w:val="TPOOdstavec"/>
              <w:rPr>
                <w:rFonts w:ascii="Arial" w:hAnsi="Arial" w:cs="Arial"/>
                <w:sz w:val="20"/>
              </w:rPr>
            </w:pPr>
            <w:r w:rsidRPr="00C516AF">
              <w:rPr>
                <w:rFonts w:ascii="Arial" w:hAnsi="Arial" w:cs="Arial"/>
                <w:sz w:val="20"/>
              </w:rPr>
              <w:t>17 02 03</w:t>
            </w:r>
          </w:p>
        </w:tc>
        <w:tc>
          <w:tcPr>
            <w:tcW w:w="4536" w:type="dxa"/>
            <w:vAlign w:val="center"/>
          </w:tcPr>
          <w:p w14:paraId="0E7B4D1F" w14:textId="77777777" w:rsidR="00573622" w:rsidRPr="00C516AF" w:rsidRDefault="00573622" w:rsidP="0035268F">
            <w:pPr>
              <w:pStyle w:val="TPOOdstavec"/>
              <w:rPr>
                <w:rFonts w:ascii="Arial" w:hAnsi="Arial" w:cs="Arial"/>
                <w:sz w:val="20"/>
              </w:rPr>
            </w:pPr>
            <w:r w:rsidRPr="00C516AF">
              <w:rPr>
                <w:rFonts w:ascii="Arial" w:hAnsi="Arial" w:cs="Arial"/>
                <w:sz w:val="20"/>
              </w:rPr>
              <w:t>Plasty</w:t>
            </w:r>
          </w:p>
        </w:tc>
        <w:tc>
          <w:tcPr>
            <w:tcW w:w="1276" w:type="dxa"/>
            <w:vAlign w:val="center"/>
          </w:tcPr>
          <w:p w14:paraId="0E7B4D20"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O</w:t>
            </w:r>
          </w:p>
        </w:tc>
        <w:tc>
          <w:tcPr>
            <w:tcW w:w="1417" w:type="dxa"/>
            <w:vAlign w:val="center"/>
          </w:tcPr>
          <w:p w14:paraId="0E7B4D21"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2</w:t>
            </w:r>
          </w:p>
        </w:tc>
      </w:tr>
      <w:tr w:rsidR="00573622" w:rsidRPr="00C516AF" w14:paraId="0E7B4D27" w14:textId="77777777" w:rsidTr="0035268F">
        <w:tc>
          <w:tcPr>
            <w:tcW w:w="1134" w:type="dxa"/>
            <w:vAlign w:val="center"/>
          </w:tcPr>
          <w:p w14:paraId="0E7B4D23" w14:textId="77777777" w:rsidR="00573622" w:rsidRPr="00C516AF" w:rsidRDefault="00573622" w:rsidP="0035268F">
            <w:pPr>
              <w:pStyle w:val="TPOOdstavec"/>
              <w:rPr>
                <w:rFonts w:ascii="Arial" w:hAnsi="Arial" w:cs="Arial"/>
                <w:sz w:val="20"/>
              </w:rPr>
            </w:pPr>
            <w:r w:rsidRPr="00C516AF">
              <w:rPr>
                <w:rFonts w:ascii="Arial" w:hAnsi="Arial" w:cs="Arial"/>
                <w:sz w:val="20"/>
              </w:rPr>
              <w:t>17 04 01</w:t>
            </w:r>
          </w:p>
        </w:tc>
        <w:tc>
          <w:tcPr>
            <w:tcW w:w="4536" w:type="dxa"/>
            <w:vAlign w:val="center"/>
          </w:tcPr>
          <w:p w14:paraId="0E7B4D24" w14:textId="77777777" w:rsidR="00573622" w:rsidRPr="00C516AF" w:rsidRDefault="00573622" w:rsidP="0035268F">
            <w:pPr>
              <w:pStyle w:val="TPOOdstavec"/>
              <w:rPr>
                <w:rFonts w:ascii="Arial" w:hAnsi="Arial" w:cs="Arial"/>
                <w:sz w:val="20"/>
              </w:rPr>
            </w:pPr>
            <w:r w:rsidRPr="00C516AF">
              <w:rPr>
                <w:rFonts w:ascii="Arial" w:hAnsi="Arial" w:cs="Arial"/>
                <w:sz w:val="20"/>
              </w:rPr>
              <w:t>Měď, bronz, mosaz</w:t>
            </w:r>
          </w:p>
        </w:tc>
        <w:tc>
          <w:tcPr>
            <w:tcW w:w="1276" w:type="dxa"/>
            <w:vAlign w:val="center"/>
          </w:tcPr>
          <w:p w14:paraId="0E7B4D25"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O</w:t>
            </w:r>
          </w:p>
        </w:tc>
        <w:tc>
          <w:tcPr>
            <w:tcW w:w="1417" w:type="dxa"/>
            <w:vAlign w:val="center"/>
          </w:tcPr>
          <w:p w14:paraId="0E7B4D26"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2</w:t>
            </w:r>
          </w:p>
        </w:tc>
      </w:tr>
      <w:tr w:rsidR="00573622" w:rsidRPr="00C516AF" w14:paraId="0E7B4D2C" w14:textId="77777777" w:rsidTr="0035268F">
        <w:tc>
          <w:tcPr>
            <w:tcW w:w="1134" w:type="dxa"/>
            <w:vAlign w:val="center"/>
          </w:tcPr>
          <w:p w14:paraId="0E7B4D28" w14:textId="77777777" w:rsidR="00573622" w:rsidRPr="00C516AF" w:rsidRDefault="00573622" w:rsidP="0035268F">
            <w:pPr>
              <w:pStyle w:val="TPOOdstavec"/>
              <w:rPr>
                <w:rFonts w:ascii="Arial" w:hAnsi="Arial" w:cs="Arial"/>
                <w:sz w:val="20"/>
              </w:rPr>
            </w:pPr>
            <w:r w:rsidRPr="00C516AF">
              <w:rPr>
                <w:rFonts w:ascii="Arial" w:hAnsi="Arial" w:cs="Arial"/>
                <w:sz w:val="20"/>
              </w:rPr>
              <w:t>17 04 02</w:t>
            </w:r>
          </w:p>
        </w:tc>
        <w:tc>
          <w:tcPr>
            <w:tcW w:w="4536" w:type="dxa"/>
            <w:vAlign w:val="center"/>
          </w:tcPr>
          <w:p w14:paraId="0E7B4D29" w14:textId="77777777" w:rsidR="00573622" w:rsidRPr="00C516AF" w:rsidRDefault="00573622" w:rsidP="0035268F">
            <w:pPr>
              <w:pStyle w:val="TPOOdstavec"/>
              <w:rPr>
                <w:rFonts w:ascii="Arial" w:hAnsi="Arial" w:cs="Arial"/>
                <w:sz w:val="20"/>
              </w:rPr>
            </w:pPr>
            <w:r w:rsidRPr="00C516AF">
              <w:rPr>
                <w:rFonts w:ascii="Arial" w:hAnsi="Arial" w:cs="Arial"/>
                <w:sz w:val="20"/>
              </w:rPr>
              <w:t>Hliník</w:t>
            </w:r>
          </w:p>
        </w:tc>
        <w:tc>
          <w:tcPr>
            <w:tcW w:w="1276" w:type="dxa"/>
            <w:vAlign w:val="center"/>
          </w:tcPr>
          <w:p w14:paraId="0E7B4D2A"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O</w:t>
            </w:r>
          </w:p>
        </w:tc>
        <w:tc>
          <w:tcPr>
            <w:tcW w:w="1417" w:type="dxa"/>
            <w:vAlign w:val="center"/>
          </w:tcPr>
          <w:p w14:paraId="0E7B4D2B"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2</w:t>
            </w:r>
          </w:p>
        </w:tc>
      </w:tr>
      <w:tr w:rsidR="00573622" w:rsidRPr="00C516AF" w14:paraId="0E7B4D31" w14:textId="77777777" w:rsidTr="0035268F">
        <w:tc>
          <w:tcPr>
            <w:tcW w:w="1134" w:type="dxa"/>
            <w:vAlign w:val="center"/>
          </w:tcPr>
          <w:p w14:paraId="0E7B4D2D" w14:textId="77777777" w:rsidR="00573622" w:rsidRPr="00C516AF" w:rsidRDefault="00573622" w:rsidP="0035268F">
            <w:pPr>
              <w:pStyle w:val="TPOOdstavec"/>
              <w:rPr>
                <w:rFonts w:ascii="Arial" w:hAnsi="Arial" w:cs="Arial"/>
                <w:sz w:val="20"/>
              </w:rPr>
            </w:pPr>
            <w:r w:rsidRPr="00C516AF">
              <w:rPr>
                <w:rFonts w:ascii="Arial" w:hAnsi="Arial" w:cs="Arial"/>
                <w:sz w:val="20"/>
              </w:rPr>
              <w:t>17 04 05</w:t>
            </w:r>
          </w:p>
        </w:tc>
        <w:tc>
          <w:tcPr>
            <w:tcW w:w="4536" w:type="dxa"/>
            <w:vAlign w:val="center"/>
          </w:tcPr>
          <w:p w14:paraId="0E7B4D2E" w14:textId="77777777" w:rsidR="00573622" w:rsidRPr="00C516AF" w:rsidRDefault="00573622" w:rsidP="0035268F">
            <w:pPr>
              <w:pStyle w:val="TPOOdstavec"/>
              <w:rPr>
                <w:rFonts w:ascii="Arial" w:hAnsi="Arial" w:cs="Arial"/>
                <w:sz w:val="20"/>
              </w:rPr>
            </w:pPr>
            <w:r w:rsidRPr="00C516AF">
              <w:rPr>
                <w:rFonts w:ascii="Arial" w:hAnsi="Arial" w:cs="Arial"/>
                <w:sz w:val="20"/>
              </w:rPr>
              <w:t>Železo a ocel</w:t>
            </w:r>
          </w:p>
        </w:tc>
        <w:tc>
          <w:tcPr>
            <w:tcW w:w="1276" w:type="dxa"/>
            <w:vAlign w:val="center"/>
          </w:tcPr>
          <w:p w14:paraId="0E7B4D2F"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O</w:t>
            </w:r>
          </w:p>
        </w:tc>
        <w:tc>
          <w:tcPr>
            <w:tcW w:w="1417" w:type="dxa"/>
            <w:vAlign w:val="center"/>
          </w:tcPr>
          <w:p w14:paraId="0E7B4D30"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2</w:t>
            </w:r>
          </w:p>
        </w:tc>
      </w:tr>
      <w:tr w:rsidR="00573622" w:rsidRPr="00C516AF" w14:paraId="0E7B4D36" w14:textId="77777777" w:rsidTr="0035268F">
        <w:tc>
          <w:tcPr>
            <w:tcW w:w="1134" w:type="dxa"/>
            <w:vAlign w:val="center"/>
          </w:tcPr>
          <w:p w14:paraId="0E7B4D32" w14:textId="77777777" w:rsidR="00573622" w:rsidRPr="00C516AF" w:rsidRDefault="00573622" w:rsidP="0035268F">
            <w:pPr>
              <w:pStyle w:val="TPOOdstavec"/>
              <w:rPr>
                <w:rFonts w:ascii="Arial" w:hAnsi="Arial" w:cs="Arial"/>
                <w:sz w:val="20"/>
              </w:rPr>
            </w:pPr>
            <w:r w:rsidRPr="00C516AF">
              <w:rPr>
                <w:rFonts w:ascii="Arial" w:hAnsi="Arial" w:cs="Arial"/>
                <w:sz w:val="20"/>
              </w:rPr>
              <w:t>17 04 11</w:t>
            </w:r>
          </w:p>
        </w:tc>
        <w:tc>
          <w:tcPr>
            <w:tcW w:w="4536" w:type="dxa"/>
            <w:vAlign w:val="center"/>
          </w:tcPr>
          <w:p w14:paraId="0E7B4D33" w14:textId="77777777" w:rsidR="00573622" w:rsidRPr="00C516AF" w:rsidRDefault="00573622" w:rsidP="0035268F">
            <w:pPr>
              <w:pStyle w:val="TPOOdstavec"/>
              <w:rPr>
                <w:rFonts w:ascii="Arial" w:hAnsi="Arial" w:cs="Arial"/>
                <w:sz w:val="20"/>
              </w:rPr>
            </w:pPr>
            <w:r w:rsidRPr="00C516AF">
              <w:rPr>
                <w:rFonts w:ascii="Arial" w:hAnsi="Arial" w:cs="Arial"/>
                <w:sz w:val="20"/>
              </w:rPr>
              <w:t>Kabely neuvedené pod 17 04 10</w:t>
            </w:r>
          </w:p>
        </w:tc>
        <w:tc>
          <w:tcPr>
            <w:tcW w:w="1276" w:type="dxa"/>
            <w:vAlign w:val="center"/>
          </w:tcPr>
          <w:p w14:paraId="0E7B4D34"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O</w:t>
            </w:r>
          </w:p>
        </w:tc>
        <w:tc>
          <w:tcPr>
            <w:tcW w:w="1417" w:type="dxa"/>
            <w:vAlign w:val="center"/>
          </w:tcPr>
          <w:p w14:paraId="0E7B4D35"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2</w:t>
            </w:r>
          </w:p>
        </w:tc>
      </w:tr>
      <w:tr w:rsidR="00573622" w:rsidRPr="00C516AF" w14:paraId="0E7B4D3B" w14:textId="77777777" w:rsidTr="0035268F">
        <w:tc>
          <w:tcPr>
            <w:tcW w:w="1134" w:type="dxa"/>
            <w:vAlign w:val="center"/>
          </w:tcPr>
          <w:p w14:paraId="0E7B4D37" w14:textId="77777777" w:rsidR="00573622" w:rsidRPr="00C516AF" w:rsidRDefault="00573622" w:rsidP="0035268F">
            <w:pPr>
              <w:pStyle w:val="TPOOdstavec"/>
              <w:rPr>
                <w:rFonts w:ascii="Arial" w:hAnsi="Arial" w:cs="Arial"/>
                <w:sz w:val="20"/>
              </w:rPr>
            </w:pPr>
            <w:r w:rsidRPr="00C516AF">
              <w:rPr>
                <w:rFonts w:ascii="Arial" w:hAnsi="Arial" w:cs="Arial"/>
                <w:sz w:val="20"/>
              </w:rPr>
              <w:t>17 05 04</w:t>
            </w:r>
          </w:p>
        </w:tc>
        <w:tc>
          <w:tcPr>
            <w:tcW w:w="4536" w:type="dxa"/>
            <w:vAlign w:val="center"/>
          </w:tcPr>
          <w:p w14:paraId="0E7B4D38" w14:textId="77777777" w:rsidR="00573622" w:rsidRPr="00C516AF" w:rsidRDefault="00573622" w:rsidP="0035268F">
            <w:pPr>
              <w:pStyle w:val="TPOOdstavec"/>
              <w:rPr>
                <w:rFonts w:ascii="Arial" w:hAnsi="Arial" w:cs="Arial"/>
                <w:sz w:val="20"/>
              </w:rPr>
            </w:pPr>
            <w:r w:rsidRPr="00C516AF">
              <w:rPr>
                <w:rFonts w:ascii="Arial" w:hAnsi="Arial" w:cs="Arial"/>
                <w:sz w:val="20"/>
              </w:rPr>
              <w:t>Zemina a kamení neuvedené pod číslem 17 05 03</w:t>
            </w:r>
          </w:p>
        </w:tc>
        <w:tc>
          <w:tcPr>
            <w:tcW w:w="1276" w:type="dxa"/>
            <w:vAlign w:val="center"/>
          </w:tcPr>
          <w:p w14:paraId="0E7B4D39"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O</w:t>
            </w:r>
          </w:p>
        </w:tc>
        <w:tc>
          <w:tcPr>
            <w:tcW w:w="1417" w:type="dxa"/>
            <w:vAlign w:val="center"/>
          </w:tcPr>
          <w:p w14:paraId="0E7B4D3A"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2</w:t>
            </w:r>
          </w:p>
        </w:tc>
      </w:tr>
      <w:tr w:rsidR="00573622" w:rsidRPr="00C516AF" w14:paraId="0E7B4D40" w14:textId="77777777" w:rsidTr="0035268F">
        <w:tc>
          <w:tcPr>
            <w:tcW w:w="1134" w:type="dxa"/>
            <w:vAlign w:val="center"/>
          </w:tcPr>
          <w:p w14:paraId="0E7B4D3C" w14:textId="77777777" w:rsidR="00573622" w:rsidRPr="00C516AF" w:rsidRDefault="00573622" w:rsidP="0035268F">
            <w:pPr>
              <w:pStyle w:val="TPOOdstavec"/>
              <w:rPr>
                <w:rFonts w:ascii="Arial" w:hAnsi="Arial" w:cs="Arial"/>
                <w:sz w:val="20"/>
              </w:rPr>
            </w:pPr>
            <w:r w:rsidRPr="00C516AF">
              <w:rPr>
                <w:rFonts w:ascii="Arial" w:hAnsi="Arial" w:cs="Arial"/>
                <w:sz w:val="20"/>
              </w:rPr>
              <w:lastRenderedPageBreak/>
              <w:t>17 06 04</w:t>
            </w:r>
          </w:p>
        </w:tc>
        <w:tc>
          <w:tcPr>
            <w:tcW w:w="4536" w:type="dxa"/>
            <w:vAlign w:val="center"/>
          </w:tcPr>
          <w:p w14:paraId="0E7B4D3D" w14:textId="77777777" w:rsidR="00573622" w:rsidRPr="00C516AF" w:rsidRDefault="00573622" w:rsidP="0035268F">
            <w:pPr>
              <w:pStyle w:val="TPOOdstavec"/>
              <w:rPr>
                <w:rFonts w:ascii="Arial" w:hAnsi="Arial" w:cs="Arial"/>
                <w:sz w:val="20"/>
              </w:rPr>
            </w:pPr>
            <w:r w:rsidRPr="00C516AF">
              <w:rPr>
                <w:rFonts w:ascii="Arial" w:hAnsi="Arial" w:cs="Arial"/>
                <w:sz w:val="20"/>
              </w:rPr>
              <w:t>Izolační materiály neuvedené pod čísly 17 06 01 a 17 06 03</w:t>
            </w:r>
          </w:p>
        </w:tc>
        <w:tc>
          <w:tcPr>
            <w:tcW w:w="1276" w:type="dxa"/>
            <w:vAlign w:val="center"/>
          </w:tcPr>
          <w:p w14:paraId="0E7B4D3E"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O</w:t>
            </w:r>
          </w:p>
        </w:tc>
        <w:tc>
          <w:tcPr>
            <w:tcW w:w="1417" w:type="dxa"/>
            <w:vAlign w:val="center"/>
          </w:tcPr>
          <w:p w14:paraId="0E7B4D3F"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1</w:t>
            </w:r>
          </w:p>
        </w:tc>
      </w:tr>
      <w:tr w:rsidR="00573622" w:rsidRPr="00C516AF" w14:paraId="0E7B4D45" w14:textId="77777777" w:rsidTr="0035268F">
        <w:tc>
          <w:tcPr>
            <w:tcW w:w="1134" w:type="dxa"/>
            <w:vAlign w:val="center"/>
          </w:tcPr>
          <w:p w14:paraId="0E7B4D41" w14:textId="77777777" w:rsidR="00573622" w:rsidRPr="00C516AF" w:rsidRDefault="00573622" w:rsidP="0035268F">
            <w:pPr>
              <w:pStyle w:val="TPOOdstavec"/>
              <w:rPr>
                <w:rFonts w:ascii="Arial" w:hAnsi="Arial" w:cs="Arial"/>
                <w:sz w:val="20"/>
              </w:rPr>
            </w:pPr>
            <w:r w:rsidRPr="00C516AF">
              <w:rPr>
                <w:rFonts w:ascii="Arial" w:hAnsi="Arial" w:cs="Arial"/>
                <w:sz w:val="20"/>
              </w:rPr>
              <w:t>20 03 01</w:t>
            </w:r>
          </w:p>
        </w:tc>
        <w:tc>
          <w:tcPr>
            <w:tcW w:w="4536" w:type="dxa"/>
            <w:vAlign w:val="center"/>
          </w:tcPr>
          <w:p w14:paraId="0E7B4D42" w14:textId="77777777" w:rsidR="00573622" w:rsidRPr="00C516AF" w:rsidRDefault="00573622" w:rsidP="0035268F">
            <w:pPr>
              <w:pStyle w:val="TPOOdstavec"/>
              <w:rPr>
                <w:rFonts w:ascii="Arial" w:hAnsi="Arial" w:cs="Arial"/>
                <w:sz w:val="20"/>
              </w:rPr>
            </w:pPr>
            <w:r w:rsidRPr="00C516AF">
              <w:rPr>
                <w:rFonts w:ascii="Arial" w:hAnsi="Arial" w:cs="Arial"/>
                <w:sz w:val="20"/>
              </w:rPr>
              <w:t>Směsný komunální odpad</w:t>
            </w:r>
          </w:p>
        </w:tc>
        <w:tc>
          <w:tcPr>
            <w:tcW w:w="1276" w:type="dxa"/>
            <w:vAlign w:val="center"/>
          </w:tcPr>
          <w:p w14:paraId="0E7B4D43"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O</w:t>
            </w:r>
          </w:p>
        </w:tc>
        <w:tc>
          <w:tcPr>
            <w:tcW w:w="1417" w:type="dxa"/>
            <w:vAlign w:val="center"/>
          </w:tcPr>
          <w:p w14:paraId="0E7B4D44" w14:textId="77777777" w:rsidR="00573622" w:rsidRPr="00C516AF" w:rsidRDefault="00573622" w:rsidP="0035268F">
            <w:pPr>
              <w:pStyle w:val="TPOOdstavec"/>
              <w:jc w:val="center"/>
              <w:rPr>
                <w:rFonts w:ascii="Arial" w:hAnsi="Arial" w:cs="Arial"/>
                <w:sz w:val="20"/>
              </w:rPr>
            </w:pPr>
            <w:r w:rsidRPr="00C516AF">
              <w:rPr>
                <w:rFonts w:ascii="Arial" w:hAnsi="Arial" w:cs="Arial"/>
                <w:sz w:val="20"/>
              </w:rPr>
              <w:t>2</w:t>
            </w:r>
          </w:p>
        </w:tc>
      </w:tr>
    </w:tbl>
    <w:p w14:paraId="0E7B4D46" w14:textId="77777777" w:rsidR="00B437BF" w:rsidRDefault="00B437BF" w:rsidP="00573622">
      <w:pPr>
        <w:pStyle w:val="Zhlav"/>
        <w:tabs>
          <w:tab w:val="left" w:pos="1560"/>
        </w:tabs>
        <w:spacing w:line="320" w:lineRule="exact"/>
        <w:rPr>
          <w:szCs w:val="19"/>
          <w:u w:val="single"/>
        </w:rPr>
      </w:pPr>
    </w:p>
    <w:p w14:paraId="0E7B4D47" w14:textId="77777777" w:rsidR="00573622" w:rsidRPr="00BA72D5" w:rsidRDefault="00573622" w:rsidP="00573622">
      <w:pPr>
        <w:pStyle w:val="Zhlav"/>
        <w:tabs>
          <w:tab w:val="left" w:pos="1560"/>
        </w:tabs>
        <w:spacing w:line="320" w:lineRule="exact"/>
        <w:rPr>
          <w:szCs w:val="19"/>
        </w:rPr>
      </w:pPr>
      <w:r w:rsidRPr="00BA72D5">
        <w:rPr>
          <w:szCs w:val="19"/>
          <w:u w:val="single"/>
        </w:rPr>
        <w:t>Způsob likvidace</w:t>
      </w:r>
      <w:r w:rsidRPr="00BA72D5">
        <w:rPr>
          <w:szCs w:val="19"/>
        </w:rPr>
        <w:t xml:space="preserve">         </w:t>
      </w:r>
    </w:p>
    <w:p w14:paraId="0E7B4D48" w14:textId="77777777" w:rsidR="00573622" w:rsidRPr="00BA72D5" w:rsidRDefault="00573622" w:rsidP="00573622">
      <w:pPr>
        <w:pStyle w:val="Zhlav"/>
        <w:tabs>
          <w:tab w:val="left" w:pos="1560"/>
        </w:tabs>
        <w:spacing w:line="320" w:lineRule="exact"/>
        <w:rPr>
          <w:szCs w:val="19"/>
        </w:rPr>
      </w:pPr>
      <w:r w:rsidRPr="00BA72D5">
        <w:rPr>
          <w:szCs w:val="19"/>
        </w:rPr>
        <w:t>1 – skladován; 2 - recyklace, regenerace, druhotné využití; 3 – spalování; 4 – kompostování</w:t>
      </w:r>
    </w:p>
    <w:p w14:paraId="0E7B4D49" w14:textId="0E897DA6" w:rsidR="0084432C" w:rsidRDefault="00573622" w:rsidP="000665EB">
      <w:pPr>
        <w:spacing w:line="320" w:lineRule="exact"/>
        <w:rPr>
          <w:szCs w:val="19"/>
        </w:rPr>
      </w:pPr>
      <w:r w:rsidRPr="00BA72D5">
        <w:rPr>
          <w:szCs w:val="19"/>
        </w:rPr>
        <w:t>O - obyčejný odpad; N - nebezpečný odpad</w:t>
      </w:r>
      <w:bookmarkEnd w:id="5"/>
    </w:p>
    <w:p w14:paraId="4BA60B9E" w14:textId="3C187CB9" w:rsidR="00924D4F" w:rsidRDefault="00924D4F" w:rsidP="000665EB">
      <w:pPr>
        <w:spacing w:line="320" w:lineRule="exact"/>
        <w:rPr>
          <w:szCs w:val="19"/>
        </w:rPr>
      </w:pPr>
    </w:p>
    <w:p w14:paraId="43C573A7" w14:textId="77777777" w:rsidR="00924D4F" w:rsidRPr="004256CB" w:rsidRDefault="00924D4F" w:rsidP="00924D4F">
      <w:pPr>
        <w:pStyle w:val="Nadpis1"/>
        <w:tabs>
          <w:tab w:val="clear" w:pos="725"/>
          <w:tab w:val="num" w:pos="720"/>
        </w:tabs>
        <w:spacing w:beforeLines="120" w:before="288" w:after="0" w:line="360" w:lineRule="auto"/>
        <w:ind w:left="0" w:firstLine="0"/>
      </w:pPr>
      <w:bookmarkStart w:id="59" w:name="_Toc127935353"/>
      <w:bookmarkStart w:id="60" w:name="_Toc145404926"/>
      <w:bookmarkStart w:id="61" w:name="_Toc145821000"/>
      <w:bookmarkStart w:id="62" w:name="_Toc163353438"/>
      <w:bookmarkStart w:id="63" w:name="_Toc169587800"/>
      <w:bookmarkStart w:id="64" w:name="_Toc220918503"/>
      <w:bookmarkStart w:id="65" w:name="_Toc275753406"/>
      <w:bookmarkStart w:id="66" w:name="_Toc23933354"/>
      <w:bookmarkStart w:id="67" w:name="_Toc26771922"/>
      <w:r w:rsidRPr="004256CB">
        <w:t>Související normy</w:t>
      </w:r>
      <w:bookmarkEnd w:id="59"/>
      <w:bookmarkEnd w:id="60"/>
      <w:bookmarkEnd w:id="61"/>
      <w:bookmarkEnd w:id="62"/>
      <w:bookmarkEnd w:id="63"/>
      <w:bookmarkEnd w:id="64"/>
      <w:r w:rsidRPr="004256CB">
        <w:t>, zákony, vyhlášky, nařízení vlády</w:t>
      </w:r>
      <w:bookmarkEnd w:id="65"/>
      <w:bookmarkEnd w:id="66"/>
      <w:bookmarkEnd w:id="67"/>
    </w:p>
    <w:p w14:paraId="08F2B90B" w14:textId="77777777" w:rsidR="00924D4F" w:rsidRDefault="00924D4F" w:rsidP="00924D4F">
      <w:pPr>
        <w:spacing w:after="120"/>
      </w:pPr>
      <w:r>
        <w:t>Dokumentace odpovídá následujícím normám ČSN:</w:t>
      </w:r>
    </w:p>
    <w:p w14:paraId="62B199A2" w14:textId="77777777" w:rsidR="00924D4F" w:rsidRDefault="00924D4F" w:rsidP="00924D4F">
      <w:pPr>
        <w:ind w:left="2835" w:hanging="2835"/>
      </w:pPr>
      <w:r>
        <w:t xml:space="preserve">ČSN EN 1838 </w:t>
      </w:r>
      <w:r>
        <w:tab/>
      </w:r>
      <w:r w:rsidRPr="00985EF6">
        <w:t>Světlo a osvětlení - Nouzové osvětlení</w:t>
      </w:r>
    </w:p>
    <w:p w14:paraId="525FD65C" w14:textId="77777777" w:rsidR="00924D4F" w:rsidRDefault="00924D4F" w:rsidP="00924D4F">
      <w:pPr>
        <w:ind w:left="2835" w:hanging="2835"/>
      </w:pPr>
      <w:r>
        <w:t xml:space="preserve">ČSN EN 12 665 </w:t>
      </w:r>
      <w:r>
        <w:tab/>
      </w:r>
      <w:r w:rsidRPr="00985EF6">
        <w:t>Světlo a osvětlení - Základní termíny a kritéria pro stanovení požadavků na osvětlení</w:t>
      </w:r>
    </w:p>
    <w:p w14:paraId="41AF6096" w14:textId="77777777" w:rsidR="00924D4F" w:rsidRDefault="00924D4F" w:rsidP="00924D4F">
      <w:pPr>
        <w:ind w:left="2835" w:hanging="2835"/>
      </w:pPr>
      <w:r>
        <w:t xml:space="preserve">ČSN EN 12 464-1 </w:t>
      </w:r>
      <w:r>
        <w:tab/>
      </w:r>
      <w:r w:rsidRPr="00985EF6">
        <w:t>Světlo a osvětlení - Osvětlení pracovních prostorů - Část 1: Vnitřní pracovní prostory</w:t>
      </w:r>
    </w:p>
    <w:p w14:paraId="00193A2E" w14:textId="77777777" w:rsidR="00924D4F" w:rsidRDefault="00924D4F" w:rsidP="00924D4F">
      <w:pPr>
        <w:ind w:left="2835" w:hanging="2835"/>
      </w:pPr>
      <w:r>
        <w:t>ČSN EN 13201-1 až 4</w:t>
      </w:r>
      <w:r>
        <w:tab/>
        <w:t>Soubor norem pro o</w:t>
      </w:r>
      <w:r w:rsidRPr="00076869">
        <w:t>světlení pozemních komunikací</w:t>
      </w:r>
      <w:r>
        <w:tab/>
      </w:r>
    </w:p>
    <w:p w14:paraId="62D9A876" w14:textId="77777777" w:rsidR="00924D4F" w:rsidRDefault="00924D4F" w:rsidP="00924D4F">
      <w:pPr>
        <w:ind w:left="2835" w:hanging="2835"/>
      </w:pPr>
      <w:r>
        <w:t>ČSN 33 2000-1 ed.2</w:t>
      </w:r>
      <w:r>
        <w:tab/>
        <w:t xml:space="preserve">Elektrická instalace nízkého napětí – Část 1: </w:t>
      </w:r>
      <w:r w:rsidRPr="004256CB">
        <w:t>Základní hlediska, stanovení základních charakteristik, definice</w:t>
      </w:r>
    </w:p>
    <w:p w14:paraId="5320A816" w14:textId="77777777" w:rsidR="00924D4F" w:rsidRDefault="00924D4F" w:rsidP="00924D4F">
      <w:pPr>
        <w:ind w:left="2835" w:hanging="2835"/>
      </w:pPr>
      <w:r>
        <w:t>ČSN 33 2000-4-41 ed.3</w:t>
      </w:r>
      <w:r>
        <w:tab/>
        <w:t xml:space="preserve">Elektrotechnické předpisy. Elektrická zařízení - </w:t>
      </w:r>
      <w:r w:rsidRPr="004256CB">
        <w:t>Část 4-41: Ochranná opatření pro zajištění bezpečnosti - Ochrana před úrazem elektrickým proudem</w:t>
      </w:r>
      <w:r>
        <w:t>.</w:t>
      </w:r>
    </w:p>
    <w:p w14:paraId="26DD26B7" w14:textId="77777777" w:rsidR="00924D4F" w:rsidRDefault="00924D4F" w:rsidP="00924D4F">
      <w:pPr>
        <w:ind w:left="2835" w:hanging="2835"/>
      </w:pPr>
      <w:r>
        <w:t>ČSN 33 2000-4-42</w:t>
      </w:r>
      <w:r>
        <w:tab/>
      </w:r>
      <w:r w:rsidRPr="004256CB">
        <w:t>Elektrotechnické předpisy. Elektrická zařízení. Část 4: Bezpečnost. Kapitola 42: Ochrana před účinky tepla</w:t>
      </w:r>
      <w:r>
        <w:t>.</w:t>
      </w:r>
    </w:p>
    <w:p w14:paraId="0D230257" w14:textId="77777777" w:rsidR="00924D4F" w:rsidRDefault="00924D4F" w:rsidP="00924D4F">
      <w:pPr>
        <w:ind w:left="2835" w:hanging="2835"/>
      </w:pPr>
      <w:r>
        <w:t>ČSN 33 2000-4-43 ed.3</w:t>
      </w:r>
      <w:r>
        <w:tab/>
      </w:r>
      <w:r w:rsidRPr="004256CB">
        <w:t>Elektrické instalace nízkého napětí - Část 4-43: Bezpečnost - Ochrana před nadproudy</w:t>
      </w:r>
      <w:r>
        <w:t>.</w:t>
      </w:r>
    </w:p>
    <w:p w14:paraId="131D7E81" w14:textId="77777777" w:rsidR="00924D4F" w:rsidRPr="00076869" w:rsidRDefault="00924D4F" w:rsidP="00924D4F">
      <w:pPr>
        <w:ind w:left="2835" w:hanging="2835"/>
      </w:pPr>
      <w:r w:rsidRPr="00076869">
        <w:t>ČSN 33 2000-4-47</w:t>
      </w:r>
      <w:r w:rsidRPr="00076869">
        <w:tab/>
        <w:t>Elektrotechnické předpisy. Elektrická zařízení - Část 4: Bezpečnost – Kapitola 47: Použití ochranných opatření pro zajištění bezpečnosti – Oddíl 470: Všeobecně – Oddíl 471: Opatření k zajištění ochrany před úrazem elektrickým proudem</w:t>
      </w:r>
    </w:p>
    <w:p w14:paraId="6D8AC57F" w14:textId="77777777" w:rsidR="00924D4F" w:rsidRDefault="00924D4F" w:rsidP="00924D4F">
      <w:pPr>
        <w:ind w:left="2835" w:hanging="2835"/>
      </w:pPr>
      <w:r>
        <w:t>ČSN 33 2000-4-473</w:t>
      </w:r>
      <w:r>
        <w:tab/>
      </w:r>
      <w:r w:rsidRPr="004256CB">
        <w:t>Elektrotechnické předpisy. Elektrická zařízení. Část 4: Bezpečnost. Kapitola 47: Použití ochranných opatření pro zajištění bezpečnosti. Oddíl 473: Opatření k ochraně proti nadproudům</w:t>
      </w:r>
    </w:p>
    <w:p w14:paraId="7FC78089" w14:textId="77777777" w:rsidR="00924D4F" w:rsidRPr="00076869" w:rsidRDefault="00924D4F" w:rsidP="00924D4F">
      <w:pPr>
        <w:ind w:left="2835" w:hanging="2835"/>
      </w:pPr>
      <w:r w:rsidRPr="00076869">
        <w:t>ČSN 33 2000-7-729</w:t>
      </w:r>
      <w:r w:rsidRPr="00076869">
        <w:tab/>
        <w:t>Elektrické instalace nízkého napětí - Část 7-729: Zařízení jednoúčelová a ve zvláštních objektech - Uličky pro obsluhu nebo údržbu</w:t>
      </w:r>
    </w:p>
    <w:p w14:paraId="239AFB16" w14:textId="77777777" w:rsidR="00924D4F" w:rsidRDefault="00924D4F" w:rsidP="00924D4F">
      <w:pPr>
        <w:ind w:left="2835" w:hanging="2835"/>
      </w:pPr>
      <w:r>
        <w:t>ČSN 33 2000-5-51 ed.3</w:t>
      </w:r>
      <w:r>
        <w:tab/>
      </w:r>
      <w:r w:rsidRPr="004256CB">
        <w:t>Elektrické instalace nízkého napětí - Část 5-51: Výběr a stavba elektrických zařízení - Všeobecné předpisy</w:t>
      </w:r>
    </w:p>
    <w:p w14:paraId="0B9F4374" w14:textId="77777777" w:rsidR="00924D4F" w:rsidRDefault="00924D4F" w:rsidP="00924D4F">
      <w:pPr>
        <w:ind w:left="2835" w:hanging="2835"/>
      </w:pPr>
      <w:r>
        <w:t>ČSN 33 2000-5-52</w:t>
      </w:r>
      <w:r>
        <w:tab/>
      </w:r>
      <w:r w:rsidRPr="004256CB">
        <w:t>Elektrotechnické předpisy - Elektrická zařízení - Část 5: Výběr a stavba elektrických zařízení - Kapitola 52: Výběr soustav a stavba vedení</w:t>
      </w:r>
    </w:p>
    <w:p w14:paraId="77EB5F0D" w14:textId="77777777" w:rsidR="00924D4F" w:rsidRDefault="00924D4F" w:rsidP="00924D4F">
      <w:pPr>
        <w:ind w:left="2835" w:hanging="2835"/>
      </w:pPr>
      <w:r>
        <w:lastRenderedPageBreak/>
        <w:t>ČSN 33 2000-5-534</w:t>
      </w:r>
      <w:r>
        <w:tab/>
      </w:r>
      <w:r w:rsidRPr="004256CB">
        <w:t>Elektrické instalace nízkého napětí - Část 5-53: Výběr a stavba elektrických zařízení - Odpojování, spínání a řízení - Oddíl 534: Přepěťová ochranná zařízení</w:t>
      </w:r>
    </w:p>
    <w:p w14:paraId="1BAA727B" w14:textId="77777777" w:rsidR="00924D4F" w:rsidRDefault="00924D4F" w:rsidP="00924D4F">
      <w:pPr>
        <w:ind w:left="2835" w:hanging="2835"/>
      </w:pPr>
      <w:r>
        <w:t>ČSN 33 2000-5-537</w:t>
      </w:r>
      <w:r>
        <w:tab/>
      </w:r>
      <w:r w:rsidRPr="004256CB">
        <w:t>Elektrotechnické předpisy - Elektrická zařízení - Část 5: Výběr a stavba elektrických zařízení - Kapitola 53: Spínací a řídicí přístroje - Oddíl 537: Přístroje pro odpojování a spínání</w:t>
      </w:r>
    </w:p>
    <w:p w14:paraId="74F69CCA" w14:textId="77777777" w:rsidR="00924D4F" w:rsidRDefault="00924D4F" w:rsidP="00924D4F">
      <w:pPr>
        <w:ind w:left="2835" w:hanging="2835"/>
      </w:pPr>
      <w:r>
        <w:t>ČSN 33 2000-5-54 ed.3</w:t>
      </w:r>
      <w:r>
        <w:tab/>
      </w:r>
      <w:r w:rsidRPr="004256CB">
        <w:t>Elektrické instalace nízkého napětí - Část 5-54: Výběr a stavba elektrických zařízení - Uzemnění a ochranné vodiče</w:t>
      </w:r>
    </w:p>
    <w:p w14:paraId="33E9F5DB" w14:textId="77777777" w:rsidR="00924D4F" w:rsidRDefault="00924D4F" w:rsidP="00924D4F">
      <w:pPr>
        <w:ind w:left="2835" w:hanging="2835"/>
      </w:pPr>
      <w:r>
        <w:t>ČSN 33 3051</w:t>
      </w:r>
      <w:r>
        <w:tab/>
        <w:t>Ochrany elektrických strojů a rozvodných zařízení</w:t>
      </w:r>
    </w:p>
    <w:p w14:paraId="3189B1CB" w14:textId="77777777" w:rsidR="00924D4F" w:rsidRDefault="00924D4F" w:rsidP="00924D4F">
      <w:pPr>
        <w:ind w:left="2835" w:hanging="2835"/>
      </w:pPr>
      <w:r>
        <w:t>ČSN 34 1610</w:t>
      </w:r>
      <w:r>
        <w:tab/>
      </w:r>
      <w:r w:rsidRPr="00985EF6">
        <w:t>Elektrotechnické předpisy ČSN. Elektrický silnoproudý rozvod v průmyslových provozovnách</w:t>
      </w:r>
    </w:p>
    <w:p w14:paraId="0A768D6B" w14:textId="77777777" w:rsidR="00924D4F" w:rsidRDefault="00924D4F" w:rsidP="00924D4F">
      <w:pPr>
        <w:ind w:left="2835" w:hanging="2835"/>
      </w:pPr>
      <w:r>
        <w:t xml:space="preserve">ČSN EN 50 110-1 a 2 ed.2 </w:t>
      </w:r>
      <w:r>
        <w:tab/>
      </w:r>
      <w:r w:rsidRPr="00076869">
        <w:t>Obsluha a práce na elektrických zařízeních</w:t>
      </w:r>
    </w:p>
    <w:p w14:paraId="011BFF17" w14:textId="77777777" w:rsidR="00924D4F" w:rsidRDefault="00924D4F" w:rsidP="00924D4F">
      <w:pPr>
        <w:ind w:left="2835" w:hanging="2835"/>
      </w:pPr>
      <w:r>
        <w:t xml:space="preserve">ČSN 73 0804 </w:t>
      </w:r>
      <w:r>
        <w:tab/>
      </w:r>
      <w:r w:rsidRPr="00985EF6">
        <w:t>Požární bezpečnost staveb - Výrobní objekty</w:t>
      </w:r>
    </w:p>
    <w:p w14:paraId="2A15D831" w14:textId="77777777" w:rsidR="00924D4F" w:rsidRDefault="00924D4F" w:rsidP="00924D4F">
      <w:pPr>
        <w:ind w:left="2835" w:hanging="2835"/>
      </w:pPr>
      <w:r>
        <w:t>ČSN 73 6005</w:t>
      </w:r>
      <w:r>
        <w:tab/>
        <w:t>Prostorové uspořádání sítí technického vybavení</w:t>
      </w:r>
    </w:p>
    <w:p w14:paraId="2313AA8B" w14:textId="77777777" w:rsidR="00924D4F" w:rsidRDefault="00924D4F" w:rsidP="00924D4F">
      <w:pPr>
        <w:ind w:left="2835" w:hanging="2835"/>
      </w:pPr>
      <w:r>
        <w:t xml:space="preserve">ČSN IEC 890 + A1 </w:t>
      </w:r>
      <w:r>
        <w:tab/>
      </w:r>
      <w:r w:rsidRPr="00985EF6">
        <w:t>Metoda stanovení oteplení extrapolací pro částečně typově zkoušené rozváděče (PTTA) pro spínací a řídicí zařízení nízkého napětí</w:t>
      </w:r>
    </w:p>
    <w:p w14:paraId="44825433" w14:textId="77777777" w:rsidR="00924D4F" w:rsidRDefault="00924D4F" w:rsidP="00924D4F">
      <w:pPr>
        <w:rPr>
          <w:highlight w:val="yellow"/>
        </w:rPr>
      </w:pPr>
    </w:p>
    <w:p w14:paraId="56E5057A" w14:textId="77777777" w:rsidR="00924D4F" w:rsidRDefault="00924D4F" w:rsidP="00924D4F">
      <w:r w:rsidRPr="0084432C">
        <w:t xml:space="preserve">Normy </w:t>
      </w:r>
      <w:r>
        <w:t xml:space="preserve">a předpisy </w:t>
      </w:r>
      <w:r w:rsidRPr="0084432C">
        <w:t>související s výše uvedenými platnými v době zpracování projektové dokumentace.</w:t>
      </w:r>
    </w:p>
    <w:p w14:paraId="12759442" w14:textId="77777777" w:rsidR="00924D4F" w:rsidRPr="0084432C" w:rsidRDefault="00924D4F" w:rsidP="000665EB">
      <w:pPr>
        <w:spacing w:line="320" w:lineRule="exact"/>
      </w:pPr>
    </w:p>
    <w:sectPr w:rsidR="00924D4F" w:rsidRPr="0084432C" w:rsidSect="00583762">
      <w:headerReference w:type="default" r:id="rId14"/>
      <w:footerReference w:type="default" r:id="rId15"/>
      <w:pgSz w:w="11907" w:h="16840" w:code="9"/>
      <w:pgMar w:top="2700" w:right="680" w:bottom="1134" w:left="180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8E7165" w14:textId="77777777" w:rsidR="00CE6127" w:rsidRPr="009422AC" w:rsidRDefault="00CE6127">
      <w:r w:rsidRPr="009422AC">
        <w:separator/>
      </w:r>
    </w:p>
  </w:endnote>
  <w:endnote w:type="continuationSeparator" w:id="0">
    <w:p w14:paraId="2E2D3C26" w14:textId="77777777" w:rsidR="00CE6127" w:rsidRPr="009422AC" w:rsidRDefault="00CE6127">
      <w:r w:rsidRPr="009422A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7B4D6E" w14:textId="446F1660" w:rsidR="005349D7" w:rsidRDefault="005349D7" w:rsidP="00975279">
    <w:pPr>
      <w:pStyle w:val="Zhlav"/>
    </w:pPr>
    <w:r>
      <w:rPr>
        <w:noProof/>
        <w:lang w:eastAsia="cs-CZ"/>
      </w:rPr>
      <mc:AlternateContent>
        <mc:Choice Requires="wps">
          <w:drawing>
            <wp:anchor distT="4294967295" distB="4294967295" distL="114300" distR="114300" simplePos="0" relativeHeight="251659264" behindDoc="0" locked="0" layoutInCell="1" allowOverlap="1" wp14:anchorId="0E7B4D76" wp14:editId="3C7A8C8F">
              <wp:simplePos x="0" y="0"/>
              <wp:positionH relativeFrom="page">
                <wp:posOffset>720090</wp:posOffset>
              </wp:positionH>
              <wp:positionV relativeFrom="page">
                <wp:posOffset>1188084</wp:posOffset>
              </wp:positionV>
              <wp:extent cx="6515100" cy="0"/>
              <wp:effectExtent l="0" t="0" r="0" b="0"/>
              <wp:wrapNone/>
              <wp:docPr id="6" name="Přímá spojnic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43A3A0" id="Přímá spojnice 6" o:spid="_x0000_s1026" style="position:absolute;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56.7pt,93.55pt" to="569.7pt,9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" strokeweight=".5pt">
              <w10:wrap anchorx="page" anchory="page"/>
            </v:line>
          </w:pict>
        </mc:Fallback>
      </mc:AlternateContent>
    </w:r>
  </w:p>
  <w:p w14:paraId="0E7B4D6F" w14:textId="77777777" w:rsidR="005349D7" w:rsidRDefault="005349D7" w:rsidP="00975279"/>
  <w:p w14:paraId="0E7B4D70" w14:textId="77777777" w:rsidR="005349D7" w:rsidRDefault="005349D7" w:rsidP="00975279">
    <w:pPr>
      <w:pStyle w:val="Zpat"/>
    </w:pPr>
  </w:p>
  <w:p w14:paraId="0E7B4D71" w14:textId="77777777" w:rsidR="005349D7" w:rsidRDefault="005349D7" w:rsidP="00975279"/>
  <w:p w14:paraId="0E7B4D72" w14:textId="517DA406" w:rsidR="005349D7" w:rsidRPr="00A824D6" w:rsidRDefault="005349D7" w:rsidP="00072880">
    <w:pPr>
      <w:pStyle w:val="NAWgegevensblok6"/>
      <w:tabs>
        <w:tab w:val="left" w:pos="907"/>
      </w:tabs>
      <w:jc w:val="center"/>
    </w:pPr>
    <w:r w:rsidRPr="00A824D6">
      <w:rPr>
        <w:rFonts w:cs="Arial"/>
        <w:sz w:val="18"/>
        <w:szCs w:val="18"/>
      </w:rPr>
      <w:t>R</w:t>
    </w:r>
    <w:r>
      <w:rPr>
        <w:rFonts w:cs="Arial"/>
        <w:sz w:val="18"/>
        <w:szCs w:val="18"/>
      </w:rPr>
      <w:t>ekonstrukce umělého osvětlení a oprava nouzového osvětlení házenkářské haly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C3ED05" w14:textId="77777777" w:rsidR="00CE6127" w:rsidRPr="009422AC" w:rsidRDefault="00CE6127">
      <w:r w:rsidRPr="009422AC">
        <w:separator/>
      </w:r>
    </w:p>
  </w:footnote>
  <w:footnote w:type="continuationSeparator" w:id="0">
    <w:p w14:paraId="7B332D5B" w14:textId="77777777" w:rsidR="00CE6127" w:rsidRPr="009422AC" w:rsidRDefault="00CE6127">
      <w:r w:rsidRPr="009422A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vertAnchor="page" w:horzAnchor="page" w:tblpX="1702" w:tblpY="568"/>
      <w:tblW w:w="0" w:type="auto"/>
      <w:tblLayout w:type="fixed"/>
      <w:tblCellMar>
        <w:left w:w="0" w:type="dxa"/>
        <w:right w:w="0" w:type="dxa"/>
      </w:tblCellMar>
      <w:tblLook w:val="01E0" w:firstRow="1" w:lastRow="1" w:firstColumn="1" w:lastColumn="1" w:noHBand="0" w:noVBand="0"/>
    </w:tblPr>
    <w:tblGrid>
      <w:gridCol w:w="20"/>
      <w:gridCol w:w="1749"/>
      <w:gridCol w:w="20"/>
      <w:gridCol w:w="20"/>
      <w:gridCol w:w="1452"/>
    </w:tblGrid>
    <w:tr w:rsidR="005349D7" w:rsidRPr="009422AC" w14:paraId="0E7B4D53" w14:textId="77777777" w:rsidTr="00FA1A21">
      <w:trPr>
        <w:trHeight w:hRule="exact" w:val="222"/>
      </w:trPr>
      <w:tc>
        <w:tcPr>
          <w:tcW w:w="20" w:type="dxa"/>
          <w:vMerge w:val="restart"/>
        </w:tcPr>
        <w:p w14:paraId="0E7B4D4E" w14:textId="77777777" w:rsidR="005349D7" w:rsidRPr="009422AC" w:rsidRDefault="005349D7" w:rsidP="001A2DA8">
          <w:pPr>
            <w:pStyle w:val="AdresGegevensblok2"/>
          </w:pPr>
        </w:p>
      </w:tc>
      <w:tc>
        <w:tcPr>
          <w:tcW w:w="1749" w:type="dxa"/>
        </w:tcPr>
        <w:p w14:paraId="0E7B4D4F" w14:textId="77777777" w:rsidR="005349D7" w:rsidRPr="00641BBB" w:rsidRDefault="005349D7" w:rsidP="00F06EA2">
          <w:pPr>
            <w:pStyle w:val="AdresGegevensblok2"/>
          </w:pPr>
          <w:r>
            <w:t>Číslo dokumentu</w:t>
          </w:r>
          <w:r w:rsidRPr="00641BBB">
            <w:t xml:space="preserve">: </w:t>
          </w:r>
          <w:r>
            <w:t>TZ-01</w:t>
          </w:r>
          <w:r>
            <w:ptab w:relativeTo="margin" w:alignment="right" w:leader="none"/>
          </w:r>
          <w:r>
            <w:ptab w:relativeTo="margin" w:alignment="right" w:leader="none"/>
          </w:r>
          <w:r>
            <w:t>0100101</w:t>
          </w:r>
        </w:p>
      </w:tc>
      <w:tc>
        <w:tcPr>
          <w:tcW w:w="20" w:type="dxa"/>
          <w:shd w:val="clear" w:color="auto" w:fill="auto"/>
        </w:tcPr>
        <w:p w14:paraId="0E7B4D50" w14:textId="77777777" w:rsidR="005349D7" w:rsidRPr="009422AC" w:rsidRDefault="005349D7" w:rsidP="001A2DA8">
          <w:pPr>
            <w:pStyle w:val="DocumentGegevenssubblok3a"/>
          </w:pPr>
        </w:p>
      </w:tc>
      <w:tc>
        <w:tcPr>
          <w:tcW w:w="20" w:type="dxa"/>
          <w:vMerge w:val="restart"/>
          <w:shd w:val="clear" w:color="auto" w:fill="auto"/>
        </w:tcPr>
        <w:p w14:paraId="0E7B4D51" w14:textId="77777777" w:rsidR="005349D7" w:rsidRPr="009422AC" w:rsidRDefault="005349D7" w:rsidP="001A2DA8">
          <w:pPr>
            <w:pStyle w:val="Zhlav"/>
          </w:pPr>
        </w:p>
      </w:tc>
      <w:tc>
        <w:tcPr>
          <w:tcW w:w="1452" w:type="dxa"/>
          <w:vMerge w:val="restart"/>
          <w:shd w:val="clear" w:color="auto" w:fill="auto"/>
        </w:tcPr>
        <w:p w14:paraId="0E7B4D52" w14:textId="77777777" w:rsidR="005349D7" w:rsidRPr="009422AC" w:rsidRDefault="005349D7" w:rsidP="001A2DA8">
          <w:pPr>
            <w:pStyle w:val="Zhlav"/>
          </w:pPr>
        </w:p>
      </w:tc>
    </w:tr>
    <w:tr w:rsidR="005349D7" w:rsidRPr="009422AC" w14:paraId="0E7B4D5A" w14:textId="77777777" w:rsidTr="00FA1A21">
      <w:trPr>
        <w:trHeight w:hRule="exact" w:val="222"/>
      </w:trPr>
      <w:tc>
        <w:tcPr>
          <w:tcW w:w="20" w:type="dxa"/>
          <w:vMerge/>
        </w:tcPr>
        <w:p w14:paraId="0E7B4D54" w14:textId="77777777" w:rsidR="005349D7" w:rsidRPr="009422AC" w:rsidRDefault="005349D7" w:rsidP="001A2DA8">
          <w:pPr>
            <w:pStyle w:val="AdresGegevensblok2"/>
          </w:pPr>
        </w:p>
      </w:tc>
      <w:tc>
        <w:tcPr>
          <w:tcW w:w="1749" w:type="dxa"/>
        </w:tcPr>
        <w:p w14:paraId="0E7B4D55" w14:textId="5C400C17" w:rsidR="005349D7" w:rsidRDefault="005349D7" w:rsidP="001A2DA8">
          <w:pPr>
            <w:pStyle w:val="AdresGegevensblok2"/>
          </w:pPr>
          <w:r>
            <w:t>Revize</w:t>
          </w:r>
          <w:r w:rsidRPr="00641BBB">
            <w:t xml:space="preserve">: </w:t>
          </w:r>
          <w:r>
            <w:fldChar w:fldCharType="begin"/>
          </w:r>
          <w:r>
            <w:instrText xml:space="preserve"> DOCVARIABLE  SE0652  /nounlink</w:instrText>
          </w:r>
          <w:r>
            <w:fldChar w:fldCharType="separate"/>
          </w:r>
          <w:r>
            <w:t xml:space="preserve"> </w:t>
          </w:r>
          <w:r>
            <w:fldChar w:fldCharType="end"/>
          </w:r>
          <w:r>
            <w:t>0</w:t>
          </w:r>
        </w:p>
        <w:p w14:paraId="0E7B4D56" w14:textId="77777777" w:rsidR="005349D7" w:rsidRPr="00641BBB" w:rsidRDefault="005349D7" w:rsidP="001A2DA8">
          <w:pPr>
            <w:pStyle w:val="AdresGegevensblok2"/>
          </w:pPr>
        </w:p>
      </w:tc>
      <w:tc>
        <w:tcPr>
          <w:tcW w:w="20" w:type="dxa"/>
          <w:shd w:val="clear" w:color="auto" w:fill="auto"/>
        </w:tcPr>
        <w:p w14:paraId="0E7B4D57" w14:textId="77777777" w:rsidR="005349D7" w:rsidRPr="009422AC" w:rsidRDefault="005349D7" w:rsidP="001A2DA8">
          <w:pPr>
            <w:pStyle w:val="AdresGegevensblok2"/>
          </w:pPr>
        </w:p>
      </w:tc>
      <w:tc>
        <w:tcPr>
          <w:tcW w:w="20" w:type="dxa"/>
          <w:vMerge/>
          <w:shd w:val="clear" w:color="auto" w:fill="auto"/>
        </w:tcPr>
        <w:p w14:paraId="0E7B4D58" w14:textId="77777777" w:rsidR="005349D7" w:rsidRPr="009422AC" w:rsidRDefault="005349D7" w:rsidP="001A2DA8">
          <w:pPr>
            <w:pStyle w:val="Zhlav"/>
          </w:pPr>
        </w:p>
      </w:tc>
      <w:tc>
        <w:tcPr>
          <w:tcW w:w="1452" w:type="dxa"/>
          <w:vMerge/>
          <w:shd w:val="clear" w:color="auto" w:fill="auto"/>
        </w:tcPr>
        <w:p w14:paraId="0E7B4D59" w14:textId="77777777" w:rsidR="005349D7" w:rsidRPr="009422AC" w:rsidRDefault="005349D7" w:rsidP="001A2DA8">
          <w:pPr>
            <w:pStyle w:val="Zhlav"/>
          </w:pPr>
        </w:p>
      </w:tc>
    </w:tr>
    <w:tr w:rsidR="005349D7" w:rsidRPr="009422AC" w14:paraId="0E7B4D60" w14:textId="77777777" w:rsidTr="00FA1A21">
      <w:trPr>
        <w:trHeight w:hRule="exact" w:val="222"/>
      </w:trPr>
      <w:tc>
        <w:tcPr>
          <w:tcW w:w="20" w:type="dxa"/>
          <w:vMerge/>
        </w:tcPr>
        <w:p w14:paraId="0E7B4D5B" w14:textId="77777777" w:rsidR="005349D7" w:rsidRPr="009422AC" w:rsidRDefault="005349D7" w:rsidP="001A2DA8">
          <w:pPr>
            <w:pStyle w:val="AdresGegevensblok2"/>
          </w:pPr>
        </w:p>
      </w:tc>
      <w:tc>
        <w:tcPr>
          <w:tcW w:w="1749" w:type="dxa"/>
        </w:tcPr>
        <w:p w14:paraId="0E7B4D5C" w14:textId="77777777" w:rsidR="005349D7" w:rsidRPr="00641BBB" w:rsidRDefault="005349D7" w:rsidP="002C19D4">
          <w:pPr>
            <w:pStyle w:val="AdresGegevensblok2"/>
          </w:pPr>
          <w:r>
            <w:t>Datum</w:t>
          </w:r>
          <w:r w:rsidRPr="00641BBB">
            <w:t>:</w:t>
          </w:r>
          <w:r>
            <w:t xml:space="preserve"> 11/2019</w:t>
          </w:r>
        </w:p>
      </w:tc>
      <w:tc>
        <w:tcPr>
          <w:tcW w:w="20" w:type="dxa"/>
          <w:shd w:val="clear" w:color="auto" w:fill="auto"/>
        </w:tcPr>
        <w:p w14:paraId="0E7B4D5D" w14:textId="77777777" w:rsidR="005349D7" w:rsidRPr="009422AC" w:rsidRDefault="005349D7" w:rsidP="001A2DA8">
          <w:pPr>
            <w:pStyle w:val="DocumentGegevensblok3a"/>
          </w:pPr>
        </w:p>
      </w:tc>
      <w:tc>
        <w:tcPr>
          <w:tcW w:w="20" w:type="dxa"/>
          <w:vMerge/>
          <w:shd w:val="clear" w:color="auto" w:fill="auto"/>
        </w:tcPr>
        <w:p w14:paraId="0E7B4D5E" w14:textId="77777777" w:rsidR="005349D7" w:rsidRPr="009422AC" w:rsidRDefault="005349D7" w:rsidP="001A2DA8">
          <w:pPr>
            <w:pStyle w:val="Zhlav"/>
          </w:pPr>
        </w:p>
      </w:tc>
      <w:tc>
        <w:tcPr>
          <w:tcW w:w="1452" w:type="dxa"/>
          <w:vMerge/>
          <w:shd w:val="clear" w:color="auto" w:fill="auto"/>
        </w:tcPr>
        <w:p w14:paraId="0E7B4D5F" w14:textId="77777777" w:rsidR="005349D7" w:rsidRPr="009422AC" w:rsidRDefault="005349D7" w:rsidP="001A2DA8">
          <w:pPr>
            <w:pStyle w:val="Zhlav"/>
          </w:pPr>
        </w:p>
      </w:tc>
    </w:tr>
    <w:tr w:rsidR="005349D7" w:rsidRPr="009422AC" w14:paraId="0E7B4D66" w14:textId="77777777" w:rsidTr="00FA1A21">
      <w:trPr>
        <w:trHeight w:hRule="exact" w:val="222"/>
      </w:trPr>
      <w:tc>
        <w:tcPr>
          <w:tcW w:w="20" w:type="dxa"/>
          <w:vMerge/>
        </w:tcPr>
        <w:p w14:paraId="0E7B4D61" w14:textId="77777777" w:rsidR="005349D7" w:rsidRPr="009422AC" w:rsidRDefault="005349D7" w:rsidP="001A2DA8">
          <w:pPr>
            <w:pStyle w:val="AdresGegevensblok2"/>
          </w:pPr>
        </w:p>
      </w:tc>
      <w:tc>
        <w:tcPr>
          <w:tcW w:w="1749" w:type="dxa"/>
        </w:tcPr>
        <w:p w14:paraId="0E7B4D62" w14:textId="77777777" w:rsidR="005349D7" w:rsidRPr="00641BBB" w:rsidRDefault="005349D7" w:rsidP="001A2DA8">
          <w:pPr>
            <w:pStyle w:val="AdresGegevensblok2"/>
          </w:pPr>
          <w:r>
            <w:t xml:space="preserve">Strana: </w:t>
          </w:r>
          <w:r>
            <w:fldChar w:fldCharType="begin"/>
          </w:r>
          <w:r>
            <w:instrText xml:space="preserve"> PAGE </w:instrText>
          </w:r>
          <w:r>
            <w:fldChar w:fldCharType="separate"/>
          </w:r>
          <w:r>
            <w:rPr>
              <w:noProof/>
            </w:rPr>
            <w:t>2</w:t>
          </w:r>
          <w:r>
            <w:rPr>
              <w:noProof/>
            </w:rPr>
            <w:fldChar w:fldCharType="end"/>
          </w:r>
          <w:r w:rsidRPr="00FA04D1">
            <w:t xml:space="preserve"> z </w:t>
          </w:r>
          <w:fldSimple w:instr=" NUMPAGES ">
            <w:r>
              <w:rPr>
                <w:noProof/>
              </w:rPr>
              <w:t>12</w:t>
            </w:r>
          </w:fldSimple>
        </w:p>
      </w:tc>
      <w:tc>
        <w:tcPr>
          <w:tcW w:w="20" w:type="dxa"/>
          <w:shd w:val="clear" w:color="auto" w:fill="auto"/>
        </w:tcPr>
        <w:p w14:paraId="0E7B4D63" w14:textId="77777777" w:rsidR="005349D7" w:rsidRPr="009422AC" w:rsidRDefault="005349D7" w:rsidP="001A2DA8">
          <w:pPr>
            <w:pStyle w:val="DocumentGegevensblok3a"/>
          </w:pPr>
        </w:p>
      </w:tc>
      <w:tc>
        <w:tcPr>
          <w:tcW w:w="20" w:type="dxa"/>
          <w:vMerge/>
          <w:shd w:val="clear" w:color="auto" w:fill="auto"/>
        </w:tcPr>
        <w:p w14:paraId="0E7B4D64" w14:textId="77777777" w:rsidR="005349D7" w:rsidRPr="009422AC" w:rsidRDefault="005349D7" w:rsidP="001A2DA8">
          <w:pPr>
            <w:pStyle w:val="Zhlav"/>
          </w:pPr>
        </w:p>
      </w:tc>
      <w:tc>
        <w:tcPr>
          <w:tcW w:w="1452" w:type="dxa"/>
          <w:vMerge/>
          <w:shd w:val="clear" w:color="auto" w:fill="auto"/>
        </w:tcPr>
        <w:p w14:paraId="0E7B4D65" w14:textId="77777777" w:rsidR="005349D7" w:rsidRPr="009422AC" w:rsidRDefault="005349D7" w:rsidP="001A2DA8">
          <w:pPr>
            <w:pStyle w:val="Zhlav"/>
          </w:pPr>
        </w:p>
      </w:tc>
    </w:tr>
    <w:tr w:rsidR="005349D7" w:rsidRPr="009422AC" w14:paraId="0E7B4D6C" w14:textId="77777777" w:rsidTr="00FA1A21">
      <w:trPr>
        <w:trHeight w:hRule="exact" w:val="222"/>
      </w:trPr>
      <w:tc>
        <w:tcPr>
          <w:tcW w:w="20" w:type="dxa"/>
          <w:vMerge/>
        </w:tcPr>
        <w:p w14:paraId="0E7B4D67" w14:textId="77777777" w:rsidR="005349D7" w:rsidRPr="009422AC" w:rsidRDefault="005349D7" w:rsidP="001A2DA8">
          <w:pPr>
            <w:pStyle w:val="AdresGegevensblok2"/>
          </w:pPr>
        </w:p>
      </w:tc>
      <w:tc>
        <w:tcPr>
          <w:tcW w:w="1749" w:type="dxa"/>
        </w:tcPr>
        <w:p w14:paraId="0E7B4D68" w14:textId="77777777" w:rsidR="005349D7" w:rsidRPr="009422AC" w:rsidRDefault="005349D7" w:rsidP="001A2DA8">
          <w:pPr>
            <w:pStyle w:val="AdresGegevensblok2"/>
          </w:pPr>
        </w:p>
      </w:tc>
      <w:tc>
        <w:tcPr>
          <w:tcW w:w="20" w:type="dxa"/>
          <w:shd w:val="clear" w:color="auto" w:fill="auto"/>
        </w:tcPr>
        <w:p w14:paraId="0E7B4D69" w14:textId="77777777" w:rsidR="005349D7" w:rsidRPr="009422AC" w:rsidRDefault="005349D7" w:rsidP="001A2DA8">
          <w:pPr>
            <w:pStyle w:val="DocumentGegevensblok3a"/>
          </w:pPr>
        </w:p>
      </w:tc>
      <w:tc>
        <w:tcPr>
          <w:tcW w:w="20" w:type="dxa"/>
          <w:vMerge/>
          <w:shd w:val="clear" w:color="auto" w:fill="auto"/>
        </w:tcPr>
        <w:p w14:paraId="0E7B4D6A" w14:textId="77777777" w:rsidR="005349D7" w:rsidRPr="009422AC" w:rsidRDefault="005349D7" w:rsidP="001A2DA8">
          <w:pPr>
            <w:pStyle w:val="Zhlav"/>
          </w:pPr>
        </w:p>
      </w:tc>
      <w:tc>
        <w:tcPr>
          <w:tcW w:w="1452" w:type="dxa"/>
          <w:vMerge/>
          <w:shd w:val="clear" w:color="auto" w:fill="auto"/>
        </w:tcPr>
        <w:p w14:paraId="0E7B4D6B" w14:textId="77777777" w:rsidR="005349D7" w:rsidRPr="009422AC" w:rsidRDefault="005349D7" w:rsidP="001A2DA8">
          <w:pPr>
            <w:pStyle w:val="Zhlav"/>
          </w:pPr>
        </w:p>
      </w:tc>
    </w:tr>
  </w:tbl>
  <w:p w14:paraId="0E7B4D6D" w14:textId="30E07A8B" w:rsidR="005349D7" w:rsidRDefault="005349D7" w:rsidP="002C19D4">
    <w:pPr>
      <w:pStyle w:val="Zhlav"/>
      <w:tabs>
        <w:tab w:val="clear" w:pos="4320"/>
        <w:tab w:val="clear" w:pos="8640"/>
        <w:tab w:val="center" w:pos="4713"/>
      </w:tabs>
    </w:pPr>
    <w:r>
      <w:rPr>
        <w:noProof/>
        <w:lang w:eastAsia="cs-CZ"/>
      </w:rPr>
      <w:drawing>
        <wp:anchor distT="0" distB="0" distL="114300" distR="114300" simplePos="0" relativeHeight="251660288" behindDoc="0" locked="0" layoutInCell="1" allowOverlap="1" wp14:anchorId="0E7B4D73" wp14:editId="0E7B4D74">
          <wp:simplePos x="0" y="0"/>
          <wp:positionH relativeFrom="margin">
            <wp:posOffset>1990725</wp:posOffset>
          </wp:positionH>
          <wp:positionV relativeFrom="paragraph">
            <wp:posOffset>-288290</wp:posOffset>
          </wp:positionV>
          <wp:extent cx="1628775" cy="904875"/>
          <wp:effectExtent l="0" t="0" r="9525" b="9525"/>
          <wp:wrapTopAndBottom/>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amperdesign na dokumenty.jpg"/>
                  <pic:cNvPicPr/>
                </pic:nvPicPr>
                <pic:blipFill>
                  <a:blip r:embed="rId1">
                    <a:extLst>
                      <a:ext uri="{28A0092B-C50C-407E-A947-70E740481C1C}">
                        <a14:useLocalDpi xmlns:a14="http://schemas.microsoft.com/office/drawing/2010/main" val="0"/>
                      </a:ext>
                    </a:extLst>
                  </a:blip>
                  <a:stretch>
                    <a:fillRect/>
                  </a:stretch>
                </pic:blipFill>
                <pic:spPr>
                  <a:xfrm>
                    <a:off x="0" y="0"/>
                    <a:ext cx="1628775" cy="904875"/>
                  </a:xfrm>
                  <a:prstGeom prst="rect">
                    <a:avLst/>
                  </a:prstGeom>
                </pic:spPr>
              </pic:pic>
            </a:graphicData>
          </a:graphic>
        </wp:anchor>
      </w:drawing>
    </w:r>
    <w:r>
      <w:rPr>
        <w:noProof/>
        <w:lang w:eastAsia="cs-CZ"/>
      </w:rPr>
      <mc:AlternateContent>
        <mc:Choice Requires="wps">
          <w:drawing>
            <wp:anchor distT="4294967295" distB="4294967295" distL="114300" distR="114300" simplePos="0" relativeHeight="251657216" behindDoc="0" locked="0" layoutInCell="1" allowOverlap="1" wp14:anchorId="0E7B4D75" wp14:editId="6245F54D">
              <wp:simplePos x="0" y="0"/>
              <wp:positionH relativeFrom="page">
                <wp:posOffset>720090</wp:posOffset>
              </wp:positionH>
              <wp:positionV relativeFrom="page">
                <wp:posOffset>1188084</wp:posOffset>
              </wp:positionV>
              <wp:extent cx="6515100"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701007" id="Line 5" o:spid="_x0000_s1026" style="position:absolute;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56.7pt,93.55pt" to="569.7pt,9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"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8Num3"/>
    <w:lvl w:ilvl="0">
      <w:start w:val="1"/>
      <w:numFmt w:val="upperLetter"/>
      <w:lvlText w:val="%1)"/>
      <w:lvlJc w:val="left"/>
      <w:pPr>
        <w:tabs>
          <w:tab w:val="num" w:pos="0"/>
        </w:tabs>
        <w:ind w:left="1260" w:hanging="360"/>
      </w:pPr>
      <w:rPr>
        <w:rFonts w:hint="default"/>
      </w:r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abstractNum w:abstractNumId="1" w15:restartNumberingAfterBreak="0">
    <w:nsid w:val="0D424E2C"/>
    <w:multiLevelType w:val="hybridMultilevel"/>
    <w:tmpl w:val="87FE8E2E"/>
    <w:lvl w:ilvl="0" w:tplc="41DE4478">
      <w:start w:val="1"/>
      <w:numFmt w:val="bullet"/>
      <w:lvlText w:val=""/>
      <w:lvlJc w:val="left"/>
      <w:pPr>
        <w:ind w:left="83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2273B7"/>
    <w:multiLevelType w:val="multilevel"/>
    <w:tmpl w:val="0B14783C"/>
    <w:lvl w:ilvl="0">
      <w:start w:val="1"/>
      <w:numFmt w:val="decimal"/>
      <w:pStyle w:val="Nadpis1"/>
      <w:lvlText w:val="%1"/>
      <w:lvlJc w:val="left"/>
      <w:pPr>
        <w:tabs>
          <w:tab w:val="num" w:pos="725"/>
        </w:tabs>
        <w:ind w:left="725" w:hanging="725"/>
      </w:pPr>
      <w:rPr>
        <w:rFonts w:cs="Times New Roman" w:hint="default"/>
      </w:rPr>
    </w:lvl>
    <w:lvl w:ilvl="1">
      <w:start w:val="1"/>
      <w:numFmt w:val="decimal"/>
      <w:pStyle w:val="Nadpis2"/>
      <w:lvlText w:val="%1.%2"/>
      <w:lvlJc w:val="left"/>
      <w:pPr>
        <w:tabs>
          <w:tab w:val="num" w:pos="725"/>
        </w:tabs>
        <w:ind w:left="725" w:hanging="725"/>
      </w:pPr>
      <w:rPr>
        <w:rFonts w:cs="Times New Roman" w:hint="default"/>
      </w:rPr>
    </w:lvl>
    <w:lvl w:ilvl="2">
      <w:start w:val="1"/>
      <w:numFmt w:val="decimal"/>
      <w:pStyle w:val="Nadpis3"/>
      <w:lvlText w:val="%1.%2.%3"/>
      <w:lvlJc w:val="left"/>
      <w:pPr>
        <w:tabs>
          <w:tab w:val="num" w:pos="1435"/>
        </w:tabs>
        <w:ind w:left="1435" w:hanging="725"/>
      </w:pPr>
      <w:rPr>
        <w:rFonts w:cs="Times New Roman" w:hint="default"/>
      </w:rPr>
    </w:lvl>
    <w:lvl w:ilvl="3">
      <w:start w:val="1"/>
      <w:numFmt w:val="decimal"/>
      <w:pStyle w:val="Nadpis4"/>
      <w:lvlText w:val="%1.%2.%3.%4"/>
      <w:lvlJc w:val="left"/>
      <w:pPr>
        <w:tabs>
          <w:tab w:val="num" w:pos="1405"/>
        </w:tabs>
        <w:ind w:left="1405" w:hanging="725"/>
      </w:pPr>
      <w:rPr>
        <w:rFonts w:cs="Times New Roman" w:hint="default"/>
      </w:rPr>
    </w:lvl>
    <w:lvl w:ilvl="4">
      <w:start w:val="1"/>
      <w:numFmt w:val="decimal"/>
      <w:pStyle w:val="Nadpis5"/>
      <w:lvlText w:val="%1.%2.%3.%4.%5"/>
      <w:lvlJc w:val="left"/>
      <w:pPr>
        <w:tabs>
          <w:tab w:val="num" w:pos="1688"/>
        </w:tabs>
        <w:ind w:left="1688" w:hanging="1008"/>
      </w:pPr>
      <w:rPr>
        <w:rFonts w:cs="Times New Roman" w:hint="default"/>
      </w:rPr>
    </w:lvl>
    <w:lvl w:ilvl="5">
      <w:start w:val="1"/>
      <w:numFmt w:val="decimal"/>
      <w:pStyle w:val="Nadpis6"/>
      <w:lvlText w:val="%1.%2.%3.%4.%5.%6"/>
      <w:lvlJc w:val="left"/>
      <w:pPr>
        <w:tabs>
          <w:tab w:val="num" w:pos="1832"/>
        </w:tabs>
        <w:ind w:left="1832" w:hanging="1152"/>
      </w:pPr>
      <w:rPr>
        <w:rFonts w:cs="Times New Roman" w:hint="default"/>
      </w:rPr>
    </w:lvl>
    <w:lvl w:ilvl="6">
      <w:start w:val="1"/>
      <w:numFmt w:val="decimal"/>
      <w:pStyle w:val="Nadpis7"/>
      <w:lvlText w:val="%1.%2.%3.%4.%5.%6.%7"/>
      <w:lvlJc w:val="left"/>
      <w:pPr>
        <w:tabs>
          <w:tab w:val="num" w:pos="1976"/>
        </w:tabs>
        <w:ind w:left="1976" w:hanging="1296"/>
      </w:pPr>
      <w:rPr>
        <w:rFonts w:cs="Times New Roman" w:hint="default"/>
      </w:rPr>
    </w:lvl>
    <w:lvl w:ilvl="7">
      <w:start w:val="1"/>
      <w:numFmt w:val="decimal"/>
      <w:pStyle w:val="Nadpis8"/>
      <w:lvlText w:val="%1.%2.%3.%4.%5.%6.%7.%8"/>
      <w:lvlJc w:val="left"/>
      <w:pPr>
        <w:tabs>
          <w:tab w:val="num" w:pos="2120"/>
        </w:tabs>
        <w:ind w:left="2120" w:hanging="1440"/>
      </w:pPr>
      <w:rPr>
        <w:rFonts w:cs="Times New Roman" w:hint="default"/>
      </w:rPr>
    </w:lvl>
    <w:lvl w:ilvl="8">
      <w:start w:val="1"/>
      <w:numFmt w:val="decimal"/>
      <w:pStyle w:val="Nadpis9"/>
      <w:lvlText w:val="%1.%2.%3.%4.%5.%6.%7.%8.%9"/>
      <w:lvlJc w:val="left"/>
      <w:pPr>
        <w:tabs>
          <w:tab w:val="num" w:pos="2264"/>
        </w:tabs>
        <w:ind w:left="2264" w:hanging="1584"/>
      </w:pPr>
      <w:rPr>
        <w:rFonts w:cs="Times New Roman" w:hint="default"/>
      </w:rPr>
    </w:lvl>
  </w:abstractNum>
  <w:abstractNum w:abstractNumId="3" w15:restartNumberingAfterBreak="0">
    <w:nsid w:val="209479D6"/>
    <w:multiLevelType w:val="hybridMultilevel"/>
    <w:tmpl w:val="1F2E6DD0"/>
    <w:lvl w:ilvl="0" w:tplc="AC76B4D6">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0072D04"/>
    <w:multiLevelType w:val="hybridMultilevel"/>
    <w:tmpl w:val="AF2E1652"/>
    <w:lvl w:ilvl="0" w:tplc="0405000F">
      <w:start w:val="1"/>
      <w:numFmt w:val="decimal"/>
      <w:lvlText w:val="%1."/>
      <w:lvlJc w:val="left"/>
      <w:pPr>
        <w:ind w:left="72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F7076DF"/>
    <w:multiLevelType w:val="singleLevel"/>
    <w:tmpl w:val="F5D6BF58"/>
    <w:lvl w:ilvl="0">
      <w:start w:val="1"/>
      <w:numFmt w:val="decimal"/>
      <w:lvlText w:val="%1)"/>
      <w:lvlJc w:val="left"/>
      <w:pPr>
        <w:tabs>
          <w:tab w:val="num" w:pos="360"/>
        </w:tabs>
        <w:ind w:left="360" w:hanging="360"/>
      </w:pPr>
      <w:rPr>
        <w:color w:val="auto"/>
      </w:rPr>
    </w:lvl>
  </w:abstractNum>
  <w:abstractNum w:abstractNumId="6" w15:restartNumberingAfterBreak="0">
    <w:nsid w:val="57AC37F8"/>
    <w:multiLevelType w:val="hybridMultilevel"/>
    <w:tmpl w:val="9F947120"/>
    <w:lvl w:ilvl="0" w:tplc="44E0C388">
      <w:start w:val="1"/>
      <w:numFmt w:val="bullet"/>
      <w:pStyle w:val="TCR-Odrazka1"/>
      <w:lvlText w:val=""/>
      <w:lvlJc w:val="left"/>
      <w:pPr>
        <w:tabs>
          <w:tab w:val="num" w:pos="720"/>
        </w:tabs>
        <w:ind w:left="720" w:hanging="360"/>
      </w:pPr>
      <w:rPr>
        <w:rFonts w:ascii="Symbol" w:hAnsi="Symbol" w:hint="default"/>
        <w:color w:val="auto"/>
      </w:rPr>
    </w:lvl>
    <w:lvl w:ilvl="1" w:tplc="A0A43576">
      <w:numFmt w:val="bullet"/>
      <w:lvlText w:val="-"/>
      <w:lvlJc w:val="left"/>
      <w:pPr>
        <w:tabs>
          <w:tab w:val="num" w:pos="1440"/>
        </w:tabs>
        <w:ind w:left="1440" w:hanging="360"/>
      </w:pPr>
      <w:rPr>
        <w:rFonts w:ascii="Arial" w:eastAsia="Times New Roman" w:hAnsi="Arial" w:cs="Arial" w:hint="default"/>
      </w:rPr>
    </w:lvl>
    <w:lvl w:ilvl="2" w:tplc="7B701D8C">
      <w:start w:val="1"/>
      <w:numFmt w:val="bullet"/>
      <w:lvlText w:val=""/>
      <w:lvlJc w:val="left"/>
      <w:pPr>
        <w:ind w:left="2160" w:hanging="360"/>
      </w:pPr>
      <w:rPr>
        <w:rFonts w:ascii="Wingdings" w:eastAsia="Times New Roman" w:hAnsi="Wingdings"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3253E49"/>
    <w:multiLevelType w:val="hybridMultilevel"/>
    <w:tmpl w:val="F7ECBA42"/>
    <w:lvl w:ilvl="0" w:tplc="C0621FCE">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66DE1EDF"/>
    <w:multiLevelType w:val="hybridMultilevel"/>
    <w:tmpl w:val="0478B72A"/>
    <w:lvl w:ilvl="0" w:tplc="FFFFFFFF">
      <w:start w:val="1"/>
      <w:numFmt w:val="bullet"/>
      <w:pStyle w:val="Pomlka"/>
      <w:lvlText w:val=""/>
      <w:lvlJc w:val="left"/>
      <w:pPr>
        <w:tabs>
          <w:tab w:val="num" w:pos="786"/>
        </w:tabs>
        <w:ind w:left="786" w:hanging="360"/>
      </w:pPr>
      <w:rPr>
        <w:rFonts w:ascii="Symbol" w:hAnsi="Symbol" w:hint="default"/>
      </w:rPr>
    </w:lvl>
    <w:lvl w:ilvl="1" w:tplc="FFFFFFFF">
      <w:numFmt w:val="bullet"/>
      <w:lvlText w:val="-"/>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737D8C"/>
    <w:multiLevelType w:val="multilevel"/>
    <w:tmpl w:val="1F182BEC"/>
    <w:lvl w:ilvl="0">
      <w:start w:val="1"/>
      <w:numFmt w:val="decimal"/>
      <w:lvlText w:val="%1"/>
      <w:lvlJc w:val="left"/>
      <w:pPr>
        <w:tabs>
          <w:tab w:val="num" w:pos="1086"/>
        </w:tabs>
        <w:ind w:left="1086" w:hanging="726"/>
      </w:pPr>
      <w:rPr>
        <w:rFonts w:hint="default"/>
      </w:rPr>
    </w:lvl>
    <w:lvl w:ilvl="1">
      <w:start w:val="1"/>
      <w:numFmt w:val="decimal"/>
      <w:lvlText w:val="%1.%2"/>
      <w:lvlJc w:val="left"/>
      <w:pPr>
        <w:tabs>
          <w:tab w:val="num" w:pos="1086"/>
        </w:tabs>
        <w:ind w:left="1086" w:hanging="726"/>
      </w:pPr>
      <w:rPr>
        <w:rFonts w:hint="default"/>
      </w:rPr>
    </w:lvl>
    <w:lvl w:ilvl="2">
      <w:start w:val="1"/>
      <w:numFmt w:val="decimal"/>
      <w:lvlText w:val="%1.%2.%3"/>
      <w:lvlJc w:val="left"/>
      <w:pPr>
        <w:tabs>
          <w:tab w:val="num" w:pos="1086"/>
        </w:tabs>
        <w:ind w:left="1086" w:hanging="726"/>
      </w:pPr>
      <w:rPr>
        <w:rFonts w:hint="default"/>
      </w:rPr>
    </w:lvl>
    <w:lvl w:ilvl="3">
      <w:start w:val="1"/>
      <w:numFmt w:val="decimal"/>
      <w:lvlText w:val="%1.%2.%3.%4"/>
      <w:lvlJc w:val="left"/>
      <w:pPr>
        <w:tabs>
          <w:tab w:val="num" w:pos="1086"/>
        </w:tabs>
        <w:ind w:left="1086" w:hanging="726"/>
      </w:pPr>
      <w:rPr>
        <w:rFonts w:hint="default"/>
      </w:rPr>
    </w:lvl>
    <w:lvl w:ilvl="4">
      <w:start w:val="1"/>
      <w:numFmt w:val="decimal"/>
      <w:lvlText w:val="%1.%2.%3.%4.%5."/>
      <w:lvlJc w:val="left"/>
      <w:pPr>
        <w:tabs>
          <w:tab w:val="num" w:pos="1511"/>
        </w:tabs>
        <w:ind w:left="1511" w:hanging="792"/>
      </w:pPr>
      <w:rPr>
        <w:rFonts w:hint="default"/>
      </w:rPr>
    </w:lvl>
    <w:lvl w:ilvl="5">
      <w:start w:val="1"/>
      <w:numFmt w:val="decimal"/>
      <w:lvlText w:val="%1.%2.%3.%4.%5.%6."/>
      <w:lvlJc w:val="left"/>
      <w:pPr>
        <w:tabs>
          <w:tab w:val="num" w:pos="2015"/>
        </w:tabs>
        <w:ind w:left="2015" w:hanging="936"/>
      </w:pPr>
      <w:rPr>
        <w:rFonts w:hint="default"/>
      </w:rPr>
    </w:lvl>
    <w:lvl w:ilvl="6">
      <w:start w:val="1"/>
      <w:numFmt w:val="decimal"/>
      <w:lvlText w:val="%1.%2.%3.%4.%5.%6.%7."/>
      <w:lvlJc w:val="left"/>
      <w:pPr>
        <w:tabs>
          <w:tab w:val="num" w:pos="2519"/>
        </w:tabs>
        <w:ind w:left="2519" w:hanging="1080"/>
      </w:pPr>
      <w:rPr>
        <w:rFonts w:hint="default"/>
      </w:rPr>
    </w:lvl>
    <w:lvl w:ilvl="7">
      <w:start w:val="1"/>
      <w:numFmt w:val="decimal"/>
      <w:lvlText w:val="%1.%2.%3.%4.%5.%6.%7.%8."/>
      <w:lvlJc w:val="left"/>
      <w:pPr>
        <w:tabs>
          <w:tab w:val="num" w:pos="3023"/>
        </w:tabs>
        <w:ind w:left="3023" w:hanging="1224"/>
      </w:pPr>
      <w:rPr>
        <w:rFonts w:hint="default"/>
      </w:rPr>
    </w:lvl>
    <w:lvl w:ilvl="8">
      <w:start w:val="1"/>
      <w:numFmt w:val="decimal"/>
      <w:lvlText w:val="%1.%2.%3.%4.%5.%6.%7.%8.%9."/>
      <w:lvlJc w:val="left"/>
      <w:pPr>
        <w:tabs>
          <w:tab w:val="num" w:pos="3599"/>
        </w:tabs>
        <w:ind w:left="3599" w:hanging="1440"/>
      </w:pPr>
      <w:rPr>
        <w:rFonts w:hint="default"/>
      </w:rPr>
    </w:lvl>
  </w:abstractNum>
  <w:abstractNum w:abstractNumId="10" w15:restartNumberingAfterBreak="0">
    <w:nsid w:val="6A9533BF"/>
    <w:multiLevelType w:val="hybridMultilevel"/>
    <w:tmpl w:val="B0A89E0A"/>
    <w:lvl w:ilvl="0" w:tplc="96F6E5C8">
      <w:start w:val="608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54C3E50"/>
    <w:multiLevelType w:val="multilevel"/>
    <w:tmpl w:val="45AC6566"/>
    <w:lvl w:ilvl="0">
      <w:start w:val="1"/>
      <w:numFmt w:val="decimal"/>
      <w:pStyle w:val="TebwordHeading1"/>
      <w:lvlText w:val="%1"/>
      <w:lvlJc w:val="left"/>
      <w:pPr>
        <w:tabs>
          <w:tab w:val="num" w:pos="726"/>
        </w:tabs>
        <w:ind w:left="726" w:hanging="726"/>
      </w:pPr>
      <w:rPr>
        <w:rFonts w:hint="default"/>
      </w:rPr>
    </w:lvl>
    <w:lvl w:ilvl="1">
      <w:start w:val="1"/>
      <w:numFmt w:val="decimal"/>
      <w:pStyle w:val="TebwordHeading2"/>
      <w:lvlText w:val="%1.%2"/>
      <w:lvlJc w:val="left"/>
      <w:pPr>
        <w:tabs>
          <w:tab w:val="num" w:pos="726"/>
        </w:tabs>
        <w:ind w:left="726" w:hanging="726"/>
      </w:pPr>
      <w:rPr>
        <w:rFonts w:hint="default"/>
      </w:rPr>
    </w:lvl>
    <w:lvl w:ilvl="2">
      <w:start w:val="1"/>
      <w:numFmt w:val="decimal"/>
      <w:pStyle w:val="TebwordHeading3"/>
      <w:lvlText w:val="%1.%2.%3"/>
      <w:lvlJc w:val="left"/>
      <w:pPr>
        <w:tabs>
          <w:tab w:val="num" w:pos="726"/>
        </w:tabs>
        <w:ind w:left="726" w:hanging="726"/>
      </w:pPr>
      <w:rPr>
        <w:rFonts w:hint="default"/>
      </w:rPr>
    </w:lvl>
    <w:lvl w:ilvl="3">
      <w:start w:val="1"/>
      <w:numFmt w:val="decimal"/>
      <w:pStyle w:val="TebwordHeading4"/>
      <w:lvlText w:val="%1.%2.%3.%4"/>
      <w:lvlJc w:val="left"/>
      <w:pPr>
        <w:tabs>
          <w:tab w:val="num" w:pos="726"/>
        </w:tabs>
        <w:ind w:left="726" w:hanging="726"/>
      </w:pPr>
      <w:rPr>
        <w:rFonts w:hint="default"/>
      </w:rPr>
    </w:lvl>
    <w:lvl w:ilvl="4">
      <w:start w:val="1"/>
      <w:numFmt w:val="decimal"/>
      <w:lvlText w:val="%1.%2.%3.%4.%5."/>
      <w:lvlJc w:val="left"/>
      <w:pPr>
        <w:tabs>
          <w:tab w:val="num" w:pos="1151"/>
        </w:tabs>
        <w:ind w:left="1151" w:hanging="792"/>
      </w:pPr>
      <w:rPr>
        <w:rFonts w:hint="default"/>
      </w:rPr>
    </w:lvl>
    <w:lvl w:ilvl="5">
      <w:start w:val="1"/>
      <w:numFmt w:val="decimal"/>
      <w:lvlText w:val="%1.%2.%3.%4.%5.%6."/>
      <w:lvlJc w:val="left"/>
      <w:pPr>
        <w:tabs>
          <w:tab w:val="num" w:pos="1655"/>
        </w:tabs>
        <w:ind w:left="1655" w:hanging="936"/>
      </w:pPr>
      <w:rPr>
        <w:rFonts w:hint="default"/>
      </w:rPr>
    </w:lvl>
    <w:lvl w:ilvl="6">
      <w:start w:val="1"/>
      <w:numFmt w:val="decimal"/>
      <w:lvlText w:val="%1.%2.%3.%4.%5.%6.%7."/>
      <w:lvlJc w:val="left"/>
      <w:pPr>
        <w:tabs>
          <w:tab w:val="num" w:pos="2159"/>
        </w:tabs>
        <w:ind w:left="2159" w:hanging="1080"/>
      </w:pPr>
      <w:rPr>
        <w:rFonts w:hint="default"/>
      </w:rPr>
    </w:lvl>
    <w:lvl w:ilvl="7">
      <w:start w:val="1"/>
      <w:numFmt w:val="decimal"/>
      <w:lvlText w:val="%1.%2.%3.%4.%5.%6.%7.%8."/>
      <w:lvlJc w:val="left"/>
      <w:pPr>
        <w:tabs>
          <w:tab w:val="num" w:pos="2663"/>
        </w:tabs>
        <w:ind w:left="2663" w:hanging="1224"/>
      </w:pPr>
      <w:rPr>
        <w:rFonts w:hint="default"/>
      </w:rPr>
    </w:lvl>
    <w:lvl w:ilvl="8">
      <w:start w:val="1"/>
      <w:numFmt w:val="decimal"/>
      <w:lvlText w:val="%1.%2.%3.%4.%5.%6.%7.%8.%9."/>
      <w:lvlJc w:val="left"/>
      <w:pPr>
        <w:tabs>
          <w:tab w:val="num" w:pos="3239"/>
        </w:tabs>
        <w:ind w:left="3239" w:hanging="1440"/>
      </w:pPr>
      <w:rPr>
        <w:rFonts w:hint="default"/>
      </w:rPr>
    </w:lvl>
  </w:abstractNum>
  <w:num w:numId="1">
    <w:abstractNumId w:val="11"/>
  </w:num>
  <w:num w:numId="2">
    <w:abstractNumId w:val="5"/>
  </w:num>
  <w:num w:numId="3">
    <w:abstractNumId w:val="2"/>
  </w:num>
  <w:num w:numId="4">
    <w:abstractNumId w:val="7"/>
  </w:num>
  <w:num w:numId="5">
    <w:abstractNumId w:val="6"/>
  </w:num>
  <w:num w:numId="6">
    <w:abstractNumId w:val="8"/>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num>
  <w:num w:numId="10">
    <w:abstractNumId w:val="2"/>
  </w:num>
  <w:num w:numId="11">
    <w:abstractNumId w:val="2"/>
  </w:num>
  <w:num w:numId="12">
    <w:abstractNumId w:val="2"/>
  </w:num>
  <w:num w:numId="13">
    <w:abstractNumId w:val="9"/>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4"/>
  </w:num>
  <w:num w:numId="24">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gutterAtTop/>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0293" w:val=" "/>
    <w:docVar w:name="SE0297" w:val=" "/>
    <w:docVar w:name="SE0298" w:val=" "/>
    <w:docVar w:name="SE0301" w:val="document number:"/>
    <w:docVar w:name="SE0302" w:val="revision:"/>
    <w:docVar w:name="SE0501" w:val=" "/>
    <w:docVar w:name="SE0505" w:val=" "/>
    <w:docVar w:name="SE0644" w:val=" "/>
    <w:docVar w:name="SE0645" w:val=" "/>
    <w:docVar w:name="SE0646" w:val=" "/>
    <w:docVar w:name="SE0647" w:val=" "/>
    <w:docVar w:name="SE0648" w:val=" "/>
    <w:docVar w:name="SE0649" w:val=" "/>
    <w:docVar w:name="SE0651" w:val=" "/>
    <w:docVar w:name="SE0652" w:val=" "/>
    <w:docVar w:name="SE0653" w:val="10 August 2005"/>
    <w:docVar w:name="SE0655" w:val=" "/>
    <w:docVar w:name="SE0656" w:val=" "/>
    <w:docVar w:name="SE0657" w:val="True"/>
    <w:docVar w:name="SE0658" w:val="True"/>
    <w:docVar w:name="SE0659" w:val="True"/>
    <w:docVar w:name="SE0660" w:val="True"/>
    <w:docVar w:name="SE0661" w:val="True"/>
    <w:docVar w:name="SE0675" w:val="Revision"/>
    <w:docVar w:name="SE0676" w:val="Client"/>
    <w:docVar w:name="SE0677" w:val="Project"/>
    <w:docVar w:name="SE0678" w:val="Order number"/>
    <w:docVar w:name="SE0679" w:val="Revision"/>
    <w:docVar w:name="SE0680" w:val="Date"/>
    <w:docVar w:name="SE0681" w:val="Author"/>
    <w:docVar w:name="SE0682" w:val="Telephone"/>
    <w:docVar w:name="SE0683" w:val="Telefax"/>
    <w:docVar w:name="SE0684" w:val="E-mail"/>
    <w:docVar w:name="SE0688" w:val="Document number"/>
    <w:docVar w:name="SE0689" w:val="Document number"/>
    <w:docVar w:name="SE0691" w:val="Page"/>
    <w:docVar w:name="SE0692" w:val="of"/>
    <w:docVar w:name="SE0693" w:val="Rev."/>
    <w:docVar w:name="SE0694" w:val="Description"/>
    <w:docVar w:name="SE0695" w:val="Author"/>
    <w:docVar w:name="SE0696" w:val="Checked by"/>
    <w:docVar w:name="SE0697" w:val="© Copyright Tebodin"/>
    <w:docVar w:name="SE0698" w:val="2005"/>
    <w:docVar w:name="SE0699" w:val="All rights reserved. No part of this publication may be reproduced or transmitted in any form or by any means without permission of the publisher."/>
    <w:docVar w:name="SE0700" w:val="10-08-2005"/>
    <w:docVar w:name="SE0701" w:val="Table of contents"/>
    <w:docVar w:name="SE0702" w:val="Attachments"/>
    <w:docVar w:name="SE0703" w:val="Drawings"/>
    <w:docVar w:name="SE0704" w:val="Summary"/>
    <w:docVar w:name="SE0705" w:val="Index"/>
    <w:docVar w:name="SE0706" w:val="Reference"/>
    <w:docVar w:name="SE0708" w:val=" "/>
    <w:docVar w:name="SE9002" w:val="Czech Republic"/>
    <w:docVar w:name="SE9003" w:val="MP Procházka"/>
    <w:docVar w:name="SE9004" w:val="251038337"/>
    <w:docVar w:name="SE9005" w:val="251038252"/>
    <w:docVar w:name="SE9006" w:val="prochazka@tebodin.cz"/>
    <w:docVar w:name="SE9007" w:val="ing  MP Procházka"/>
    <w:docVar w:name="SE9008" w:val="Milan Procházka"/>
    <w:docVar w:name="SE9009" w:val="MP Procházka"/>
    <w:docVar w:name="SE9010" w:val="IT manager"/>
    <w:docVar w:name="SE9011" w:val="Procházka"/>
    <w:docVar w:name="SE9244" w:val="Tebodin Czech Republic, s.r.o."/>
    <w:docVar w:name="SE9245" w:val="Tebodin Czech Republic, s.r.o."/>
    <w:docVar w:name="SE9300" w:val="Prvního pluku 20/224 • 186 59 Praha 8 - Karlín"/>
    <w:docVar w:name="SE9310" w:val="telefon 0251 03 81 11 • telefax 0222 32 51 82"/>
    <w:docVar w:name="SE9320" w:val="info@tebodin.cz • www.tebodin.com • www.tebodin.cz"/>
    <w:docVar w:name="SE9330" w:val=" "/>
    <w:docVar w:name="SE9340" w:val=" "/>
    <w:docVar w:name="SE9350" w:val=" "/>
    <w:docVar w:name="SE9360" w:val=" "/>
    <w:docVar w:name="SE9370" w:val=" "/>
    <w:docVar w:name="SE9380" w:val=" "/>
    <w:docVar w:name="SE9390" w:val=" "/>
    <w:docVar w:name="SE9400" w:val=" "/>
    <w:docVar w:name="SE9410" w:val=" "/>
    <w:docVar w:name="SE9500" w:val="Komerční banka, Praha 8 • Č. 7010449-081/0100 • IBAN • CZ3403000000000581709543 • DIČ 008-44264186 • IČO 44264186"/>
    <w:docVar w:name="SE9510" w:val=" "/>
    <w:docVar w:name="SE9520" w:val=" "/>
    <w:docVar w:name="SE9530" w:val=" "/>
    <w:docVar w:name="SE9540" w:val=" "/>
    <w:docVar w:name="SE9550" w:val=" "/>
    <w:docVar w:name="SE9560" w:val=" "/>
    <w:docVar w:name="SE9570" w:val=" "/>
    <w:docVar w:name="SE9580" w:val=" "/>
    <w:docVar w:name="SE9600" w:val=" "/>
    <w:docVar w:name="SE9601" w:val=" "/>
    <w:docVar w:name="SE9602" w:val="Yours faithfully,"/>
    <w:docVar w:name="SE9603" w:val="With kind regards,"/>
    <w:docVar w:name="SE9650" w:val=" "/>
    <w:docVar w:name="SE9651" w:val=" "/>
    <w:docVar w:name="SE9652" w:val="IT manager"/>
    <w:docVar w:name="SE9653" w:val=" "/>
    <w:docVar w:name="SE9700" w:val=" "/>
    <w:docVar w:name="SE9701" w:val=" "/>
    <w:docVar w:name="SE9702" w:val="ing  MP Procházka"/>
    <w:docVar w:name="SE9703" w:val="Milan Procházka"/>
    <w:docVar w:name="SE9704" w:val="MP Procházka"/>
    <w:docVar w:name="SE9705" w:val=" "/>
    <w:docVar w:name="SE9900" w:val="251038337"/>
    <w:docVar w:name="SE9910" w:val="251038252"/>
    <w:docVar w:name="SY0001" w:val=" "/>
    <w:docVar w:name="SY0002" w:val=" "/>
    <w:docVar w:name="SY0006" w:val="StartHier"/>
  </w:docVars>
  <w:rsids>
    <w:rsidRoot w:val="001859F5"/>
    <w:rsid w:val="00000339"/>
    <w:rsid w:val="00000E49"/>
    <w:rsid w:val="00002A86"/>
    <w:rsid w:val="0000599A"/>
    <w:rsid w:val="00005BA6"/>
    <w:rsid w:val="00006B67"/>
    <w:rsid w:val="000072F9"/>
    <w:rsid w:val="00007386"/>
    <w:rsid w:val="00007B3A"/>
    <w:rsid w:val="00011363"/>
    <w:rsid w:val="00012E7A"/>
    <w:rsid w:val="0001524D"/>
    <w:rsid w:val="000178F9"/>
    <w:rsid w:val="00017F75"/>
    <w:rsid w:val="000211B5"/>
    <w:rsid w:val="0002403F"/>
    <w:rsid w:val="000265E3"/>
    <w:rsid w:val="00027B69"/>
    <w:rsid w:val="000303D0"/>
    <w:rsid w:val="000310C5"/>
    <w:rsid w:val="00032397"/>
    <w:rsid w:val="000367D1"/>
    <w:rsid w:val="0004169D"/>
    <w:rsid w:val="00042EA4"/>
    <w:rsid w:val="00046D3C"/>
    <w:rsid w:val="00047960"/>
    <w:rsid w:val="00047E9A"/>
    <w:rsid w:val="00051C2F"/>
    <w:rsid w:val="0005234A"/>
    <w:rsid w:val="00052D4B"/>
    <w:rsid w:val="00056F27"/>
    <w:rsid w:val="000619B1"/>
    <w:rsid w:val="00064260"/>
    <w:rsid w:val="000654DD"/>
    <w:rsid w:val="00065CC6"/>
    <w:rsid w:val="00066085"/>
    <w:rsid w:val="000665EB"/>
    <w:rsid w:val="00072880"/>
    <w:rsid w:val="000739E1"/>
    <w:rsid w:val="000749D1"/>
    <w:rsid w:val="00075F16"/>
    <w:rsid w:val="00076869"/>
    <w:rsid w:val="00077807"/>
    <w:rsid w:val="00081C2E"/>
    <w:rsid w:val="000821E0"/>
    <w:rsid w:val="000866DB"/>
    <w:rsid w:val="00087281"/>
    <w:rsid w:val="00091E1C"/>
    <w:rsid w:val="00094BE8"/>
    <w:rsid w:val="000A0CD9"/>
    <w:rsid w:val="000A3268"/>
    <w:rsid w:val="000A410D"/>
    <w:rsid w:val="000A5652"/>
    <w:rsid w:val="000A5668"/>
    <w:rsid w:val="000B087C"/>
    <w:rsid w:val="000B1CE3"/>
    <w:rsid w:val="000B2375"/>
    <w:rsid w:val="000B7D82"/>
    <w:rsid w:val="000C06C5"/>
    <w:rsid w:val="000C1819"/>
    <w:rsid w:val="000C52B6"/>
    <w:rsid w:val="000D0B9E"/>
    <w:rsid w:val="000D2BE6"/>
    <w:rsid w:val="000D3561"/>
    <w:rsid w:val="000D4FF2"/>
    <w:rsid w:val="000E06E0"/>
    <w:rsid w:val="000E0C9C"/>
    <w:rsid w:val="000E15D5"/>
    <w:rsid w:val="000E1C6E"/>
    <w:rsid w:val="000E2B7C"/>
    <w:rsid w:val="000E2F19"/>
    <w:rsid w:val="000E34C0"/>
    <w:rsid w:val="000E4926"/>
    <w:rsid w:val="000E730B"/>
    <w:rsid w:val="000F0014"/>
    <w:rsid w:val="000F0FD9"/>
    <w:rsid w:val="000F157B"/>
    <w:rsid w:val="000F20BF"/>
    <w:rsid w:val="000F232B"/>
    <w:rsid w:val="000F2CA2"/>
    <w:rsid w:val="000F7B23"/>
    <w:rsid w:val="0010137B"/>
    <w:rsid w:val="001019FD"/>
    <w:rsid w:val="00101FF0"/>
    <w:rsid w:val="00104F05"/>
    <w:rsid w:val="001172FE"/>
    <w:rsid w:val="001224F0"/>
    <w:rsid w:val="001346A1"/>
    <w:rsid w:val="0013552C"/>
    <w:rsid w:val="001364B0"/>
    <w:rsid w:val="00140827"/>
    <w:rsid w:val="0015467F"/>
    <w:rsid w:val="00154DC3"/>
    <w:rsid w:val="00160746"/>
    <w:rsid w:val="00162CA1"/>
    <w:rsid w:val="001639AB"/>
    <w:rsid w:val="00166CE2"/>
    <w:rsid w:val="00170676"/>
    <w:rsid w:val="00173901"/>
    <w:rsid w:val="00176CA9"/>
    <w:rsid w:val="001800B4"/>
    <w:rsid w:val="00180510"/>
    <w:rsid w:val="001822BF"/>
    <w:rsid w:val="001859F5"/>
    <w:rsid w:val="001926FE"/>
    <w:rsid w:val="001A2DA8"/>
    <w:rsid w:val="001A5981"/>
    <w:rsid w:val="001B1AAC"/>
    <w:rsid w:val="001B5D28"/>
    <w:rsid w:val="001B7DF4"/>
    <w:rsid w:val="001C07F6"/>
    <w:rsid w:val="001C3D26"/>
    <w:rsid w:val="001C7372"/>
    <w:rsid w:val="001D0ED8"/>
    <w:rsid w:val="001D144E"/>
    <w:rsid w:val="001D20DD"/>
    <w:rsid w:val="001D258E"/>
    <w:rsid w:val="001D3ACB"/>
    <w:rsid w:val="001D40BF"/>
    <w:rsid w:val="001D7E07"/>
    <w:rsid w:val="001E1373"/>
    <w:rsid w:val="001E1ED7"/>
    <w:rsid w:val="001E59A8"/>
    <w:rsid w:val="001F32CC"/>
    <w:rsid w:val="001F3ECF"/>
    <w:rsid w:val="001F51B2"/>
    <w:rsid w:val="00202693"/>
    <w:rsid w:val="00202E04"/>
    <w:rsid w:val="00212966"/>
    <w:rsid w:val="002171DC"/>
    <w:rsid w:val="00221005"/>
    <w:rsid w:val="002211A8"/>
    <w:rsid w:val="002230EC"/>
    <w:rsid w:val="00224A7C"/>
    <w:rsid w:val="00224DD1"/>
    <w:rsid w:val="0022783E"/>
    <w:rsid w:val="00227BFA"/>
    <w:rsid w:val="0023125F"/>
    <w:rsid w:val="00234F7D"/>
    <w:rsid w:val="00241D4E"/>
    <w:rsid w:val="00243B7E"/>
    <w:rsid w:val="00243D76"/>
    <w:rsid w:val="00246811"/>
    <w:rsid w:val="00252932"/>
    <w:rsid w:val="0026334E"/>
    <w:rsid w:val="002650CB"/>
    <w:rsid w:val="0027173C"/>
    <w:rsid w:val="002755FA"/>
    <w:rsid w:val="00277A45"/>
    <w:rsid w:val="002827D2"/>
    <w:rsid w:val="00284D27"/>
    <w:rsid w:val="00293412"/>
    <w:rsid w:val="00296127"/>
    <w:rsid w:val="002A5A97"/>
    <w:rsid w:val="002B1129"/>
    <w:rsid w:val="002B6DF8"/>
    <w:rsid w:val="002C0153"/>
    <w:rsid w:val="002C19D4"/>
    <w:rsid w:val="002C1A61"/>
    <w:rsid w:val="002C2C56"/>
    <w:rsid w:val="002C2E69"/>
    <w:rsid w:val="002C614A"/>
    <w:rsid w:val="002D0827"/>
    <w:rsid w:val="002D6792"/>
    <w:rsid w:val="002E214F"/>
    <w:rsid w:val="002E433E"/>
    <w:rsid w:val="002E7693"/>
    <w:rsid w:val="002F0F09"/>
    <w:rsid w:val="002F3A2C"/>
    <w:rsid w:val="002F6949"/>
    <w:rsid w:val="00303E2B"/>
    <w:rsid w:val="0030594A"/>
    <w:rsid w:val="0030662C"/>
    <w:rsid w:val="003075E4"/>
    <w:rsid w:val="003202F4"/>
    <w:rsid w:val="0032271F"/>
    <w:rsid w:val="003246C0"/>
    <w:rsid w:val="00330061"/>
    <w:rsid w:val="00330C2E"/>
    <w:rsid w:val="0033329C"/>
    <w:rsid w:val="00333490"/>
    <w:rsid w:val="003367A2"/>
    <w:rsid w:val="003427FF"/>
    <w:rsid w:val="00343E3E"/>
    <w:rsid w:val="00345731"/>
    <w:rsid w:val="00346354"/>
    <w:rsid w:val="00350195"/>
    <w:rsid w:val="00350486"/>
    <w:rsid w:val="00350727"/>
    <w:rsid w:val="0035268F"/>
    <w:rsid w:val="00353887"/>
    <w:rsid w:val="003579F1"/>
    <w:rsid w:val="003603D6"/>
    <w:rsid w:val="0036141D"/>
    <w:rsid w:val="003616BA"/>
    <w:rsid w:val="0036475D"/>
    <w:rsid w:val="00364891"/>
    <w:rsid w:val="003656F4"/>
    <w:rsid w:val="00375469"/>
    <w:rsid w:val="00376298"/>
    <w:rsid w:val="00380CFA"/>
    <w:rsid w:val="00382BC2"/>
    <w:rsid w:val="00383BAE"/>
    <w:rsid w:val="0038510C"/>
    <w:rsid w:val="0038744F"/>
    <w:rsid w:val="00387C16"/>
    <w:rsid w:val="00394F59"/>
    <w:rsid w:val="0039751F"/>
    <w:rsid w:val="003A0F91"/>
    <w:rsid w:val="003A1B1E"/>
    <w:rsid w:val="003A1E80"/>
    <w:rsid w:val="003A4504"/>
    <w:rsid w:val="003B2313"/>
    <w:rsid w:val="003B6B00"/>
    <w:rsid w:val="003B6B30"/>
    <w:rsid w:val="003C2B31"/>
    <w:rsid w:val="003C4D1C"/>
    <w:rsid w:val="003C57CC"/>
    <w:rsid w:val="003C660E"/>
    <w:rsid w:val="003C673A"/>
    <w:rsid w:val="003D0AA7"/>
    <w:rsid w:val="003D2021"/>
    <w:rsid w:val="003D564A"/>
    <w:rsid w:val="003D6831"/>
    <w:rsid w:val="003E2BF2"/>
    <w:rsid w:val="003F20AD"/>
    <w:rsid w:val="003F259B"/>
    <w:rsid w:val="003F35DA"/>
    <w:rsid w:val="003F7A31"/>
    <w:rsid w:val="0040428E"/>
    <w:rsid w:val="00406888"/>
    <w:rsid w:val="00406EBF"/>
    <w:rsid w:val="004078D1"/>
    <w:rsid w:val="00422DFD"/>
    <w:rsid w:val="00423F01"/>
    <w:rsid w:val="00424B4A"/>
    <w:rsid w:val="00425135"/>
    <w:rsid w:val="004256CB"/>
    <w:rsid w:val="004277AE"/>
    <w:rsid w:val="00432424"/>
    <w:rsid w:val="004335CC"/>
    <w:rsid w:val="00433BCA"/>
    <w:rsid w:val="00434F2D"/>
    <w:rsid w:val="00435E4F"/>
    <w:rsid w:val="00435F1A"/>
    <w:rsid w:val="00437740"/>
    <w:rsid w:val="00443272"/>
    <w:rsid w:val="00446B73"/>
    <w:rsid w:val="00453834"/>
    <w:rsid w:val="00463C2E"/>
    <w:rsid w:val="004703F6"/>
    <w:rsid w:val="0047156A"/>
    <w:rsid w:val="0047346A"/>
    <w:rsid w:val="00473FE6"/>
    <w:rsid w:val="004744BF"/>
    <w:rsid w:val="0047719D"/>
    <w:rsid w:val="00482987"/>
    <w:rsid w:val="00482D61"/>
    <w:rsid w:val="004854E4"/>
    <w:rsid w:val="00490F17"/>
    <w:rsid w:val="00490F89"/>
    <w:rsid w:val="00492D9F"/>
    <w:rsid w:val="00493321"/>
    <w:rsid w:val="004936B0"/>
    <w:rsid w:val="004A063F"/>
    <w:rsid w:val="004A0B31"/>
    <w:rsid w:val="004A1AAB"/>
    <w:rsid w:val="004A54EF"/>
    <w:rsid w:val="004A5712"/>
    <w:rsid w:val="004A5DBA"/>
    <w:rsid w:val="004A6ABC"/>
    <w:rsid w:val="004B0815"/>
    <w:rsid w:val="004B1488"/>
    <w:rsid w:val="004B754A"/>
    <w:rsid w:val="004C1453"/>
    <w:rsid w:val="004C3276"/>
    <w:rsid w:val="004C5B02"/>
    <w:rsid w:val="004C5C3E"/>
    <w:rsid w:val="004C6404"/>
    <w:rsid w:val="004C7144"/>
    <w:rsid w:val="004C775A"/>
    <w:rsid w:val="004D1B3D"/>
    <w:rsid w:val="004E1A30"/>
    <w:rsid w:val="004E409C"/>
    <w:rsid w:val="004E5C75"/>
    <w:rsid w:val="004E747E"/>
    <w:rsid w:val="004E7C70"/>
    <w:rsid w:val="004E7DF4"/>
    <w:rsid w:val="004F095A"/>
    <w:rsid w:val="004F0D13"/>
    <w:rsid w:val="004F55FF"/>
    <w:rsid w:val="004F73A6"/>
    <w:rsid w:val="005038D9"/>
    <w:rsid w:val="005044E9"/>
    <w:rsid w:val="00513E06"/>
    <w:rsid w:val="00514367"/>
    <w:rsid w:val="00521C44"/>
    <w:rsid w:val="00522DC9"/>
    <w:rsid w:val="00522DCE"/>
    <w:rsid w:val="00524364"/>
    <w:rsid w:val="00524AEC"/>
    <w:rsid w:val="0052542F"/>
    <w:rsid w:val="005324C1"/>
    <w:rsid w:val="00534872"/>
    <w:rsid w:val="005349D7"/>
    <w:rsid w:val="00534BD6"/>
    <w:rsid w:val="00540EA1"/>
    <w:rsid w:val="0054561E"/>
    <w:rsid w:val="005458DC"/>
    <w:rsid w:val="005464FE"/>
    <w:rsid w:val="00554BE2"/>
    <w:rsid w:val="00560124"/>
    <w:rsid w:val="0056042A"/>
    <w:rsid w:val="00560EFD"/>
    <w:rsid w:val="00563152"/>
    <w:rsid w:val="005637ED"/>
    <w:rsid w:val="00564A26"/>
    <w:rsid w:val="00566560"/>
    <w:rsid w:val="0056693F"/>
    <w:rsid w:val="00566C06"/>
    <w:rsid w:val="005670C3"/>
    <w:rsid w:val="00573622"/>
    <w:rsid w:val="005752CF"/>
    <w:rsid w:val="0057654C"/>
    <w:rsid w:val="005768B9"/>
    <w:rsid w:val="0058034F"/>
    <w:rsid w:val="00583762"/>
    <w:rsid w:val="00584768"/>
    <w:rsid w:val="00584F5D"/>
    <w:rsid w:val="00590742"/>
    <w:rsid w:val="00591E88"/>
    <w:rsid w:val="005926F4"/>
    <w:rsid w:val="00595D09"/>
    <w:rsid w:val="005A69E6"/>
    <w:rsid w:val="005A739F"/>
    <w:rsid w:val="005B630F"/>
    <w:rsid w:val="005B6C0C"/>
    <w:rsid w:val="005C2A73"/>
    <w:rsid w:val="005C3BB4"/>
    <w:rsid w:val="005C58AF"/>
    <w:rsid w:val="005D1075"/>
    <w:rsid w:val="005D1761"/>
    <w:rsid w:val="005D19D4"/>
    <w:rsid w:val="005D1BFA"/>
    <w:rsid w:val="005D7AFF"/>
    <w:rsid w:val="005E1034"/>
    <w:rsid w:val="005E20B1"/>
    <w:rsid w:val="005E7028"/>
    <w:rsid w:val="005F25CE"/>
    <w:rsid w:val="005F4A92"/>
    <w:rsid w:val="00602FEF"/>
    <w:rsid w:val="006048AA"/>
    <w:rsid w:val="00604F0D"/>
    <w:rsid w:val="00606454"/>
    <w:rsid w:val="00606BDD"/>
    <w:rsid w:val="00607B55"/>
    <w:rsid w:val="00611718"/>
    <w:rsid w:val="006120D9"/>
    <w:rsid w:val="006134E5"/>
    <w:rsid w:val="00614137"/>
    <w:rsid w:val="006155D9"/>
    <w:rsid w:val="006158F9"/>
    <w:rsid w:val="00616126"/>
    <w:rsid w:val="006179A8"/>
    <w:rsid w:val="0062217B"/>
    <w:rsid w:val="00624D99"/>
    <w:rsid w:val="006257EE"/>
    <w:rsid w:val="00634295"/>
    <w:rsid w:val="006355D9"/>
    <w:rsid w:val="00635F6F"/>
    <w:rsid w:val="006421C1"/>
    <w:rsid w:val="00642B7E"/>
    <w:rsid w:val="00642B9E"/>
    <w:rsid w:val="0065211C"/>
    <w:rsid w:val="00666132"/>
    <w:rsid w:val="006668B2"/>
    <w:rsid w:val="006700FB"/>
    <w:rsid w:val="006737DA"/>
    <w:rsid w:val="006750FD"/>
    <w:rsid w:val="00676E11"/>
    <w:rsid w:val="00681369"/>
    <w:rsid w:val="006821FA"/>
    <w:rsid w:val="00682971"/>
    <w:rsid w:val="006862FF"/>
    <w:rsid w:val="00686713"/>
    <w:rsid w:val="00687F71"/>
    <w:rsid w:val="006902A7"/>
    <w:rsid w:val="0069259A"/>
    <w:rsid w:val="00692CB5"/>
    <w:rsid w:val="006952B2"/>
    <w:rsid w:val="006A5C01"/>
    <w:rsid w:val="006A6055"/>
    <w:rsid w:val="006B38E8"/>
    <w:rsid w:val="006B621E"/>
    <w:rsid w:val="006B6CC1"/>
    <w:rsid w:val="006C06FE"/>
    <w:rsid w:val="006C7C9E"/>
    <w:rsid w:val="006D2966"/>
    <w:rsid w:val="006D5F51"/>
    <w:rsid w:val="006D741D"/>
    <w:rsid w:val="006E078B"/>
    <w:rsid w:val="006E2C66"/>
    <w:rsid w:val="006F1902"/>
    <w:rsid w:val="006F210A"/>
    <w:rsid w:val="006F3BE5"/>
    <w:rsid w:val="006F5BEA"/>
    <w:rsid w:val="00704BE5"/>
    <w:rsid w:val="00710353"/>
    <w:rsid w:val="00713615"/>
    <w:rsid w:val="007164FA"/>
    <w:rsid w:val="00717A05"/>
    <w:rsid w:val="00722C6B"/>
    <w:rsid w:val="00723CBA"/>
    <w:rsid w:val="00726279"/>
    <w:rsid w:val="00732D7C"/>
    <w:rsid w:val="0074275F"/>
    <w:rsid w:val="0074532F"/>
    <w:rsid w:val="00750302"/>
    <w:rsid w:val="007539D8"/>
    <w:rsid w:val="0075727D"/>
    <w:rsid w:val="00760B2E"/>
    <w:rsid w:val="0076117D"/>
    <w:rsid w:val="00761CF5"/>
    <w:rsid w:val="00770BBF"/>
    <w:rsid w:val="007716EA"/>
    <w:rsid w:val="00771AB1"/>
    <w:rsid w:val="00783535"/>
    <w:rsid w:val="00785E54"/>
    <w:rsid w:val="00790438"/>
    <w:rsid w:val="00792478"/>
    <w:rsid w:val="00794841"/>
    <w:rsid w:val="00796E37"/>
    <w:rsid w:val="007977AD"/>
    <w:rsid w:val="007A0107"/>
    <w:rsid w:val="007A21F0"/>
    <w:rsid w:val="007A2892"/>
    <w:rsid w:val="007A33F5"/>
    <w:rsid w:val="007A3F47"/>
    <w:rsid w:val="007C3453"/>
    <w:rsid w:val="007C56F9"/>
    <w:rsid w:val="007D1F05"/>
    <w:rsid w:val="007D253C"/>
    <w:rsid w:val="007D66F9"/>
    <w:rsid w:val="007D6840"/>
    <w:rsid w:val="007D7EC4"/>
    <w:rsid w:val="007D7F54"/>
    <w:rsid w:val="007D7F8C"/>
    <w:rsid w:val="007E0901"/>
    <w:rsid w:val="007E42E1"/>
    <w:rsid w:val="007E449A"/>
    <w:rsid w:val="007E5032"/>
    <w:rsid w:val="007E5634"/>
    <w:rsid w:val="007E6E97"/>
    <w:rsid w:val="007E7664"/>
    <w:rsid w:val="007F231F"/>
    <w:rsid w:val="007F2AF3"/>
    <w:rsid w:val="007F34B7"/>
    <w:rsid w:val="007F3E43"/>
    <w:rsid w:val="007F417D"/>
    <w:rsid w:val="007F60A0"/>
    <w:rsid w:val="007F6F31"/>
    <w:rsid w:val="007F789B"/>
    <w:rsid w:val="0080538B"/>
    <w:rsid w:val="00811501"/>
    <w:rsid w:val="00812ED5"/>
    <w:rsid w:val="00815D4C"/>
    <w:rsid w:val="00816015"/>
    <w:rsid w:val="00821BF9"/>
    <w:rsid w:val="00824F5C"/>
    <w:rsid w:val="008251B5"/>
    <w:rsid w:val="0082528D"/>
    <w:rsid w:val="00825D91"/>
    <w:rsid w:val="0082681D"/>
    <w:rsid w:val="0082712D"/>
    <w:rsid w:val="00827EBE"/>
    <w:rsid w:val="008313A1"/>
    <w:rsid w:val="00831DED"/>
    <w:rsid w:val="008339EF"/>
    <w:rsid w:val="0083723F"/>
    <w:rsid w:val="00841FE2"/>
    <w:rsid w:val="0084432C"/>
    <w:rsid w:val="00846418"/>
    <w:rsid w:val="008468D0"/>
    <w:rsid w:val="008641CF"/>
    <w:rsid w:val="00870ABF"/>
    <w:rsid w:val="00873280"/>
    <w:rsid w:val="008740A9"/>
    <w:rsid w:val="00875F46"/>
    <w:rsid w:val="00880658"/>
    <w:rsid w:val="00884395"/>
    <w:rsid w:val="0088459F"/>
    <w:rsid w:val="00885AE0"/>
    <w:rsid w:val="0088759B"/>
    <w:rsid w:val="00887F74"/>
    <w:rsid w:val="008919E0"/>
    <w:rsid w:val="00895928"/>
    <w:rsid w:val="008959B3"/>
    <w:rsid w:val="008A1681"/>
    <w:rsid w:val="008A3BB4"/>
    <w:rsid w:val="008A4C12"/>
    <w:rsid w:val="008A5224"/>
    <w:rsid w:val="008A5E38"/>
    <w:rsid w:val="008A7042"/>
    <w:rsid w:val="008A70EB"/>
    <w:rsid w:val="008B0813"/>
    <w:rsid w:val="008B0BEA"/>
    <w:rsid w:val="008B4DEF"/>
    <w:rsid w:val="008B5CB4"/>
    <w:rsid w:val="008B7DC4"/>
    <w:rsid w:val="008C0095"/>
    <w:rsid w:val="008C14F5"/>
    <w:rsid w:val="008C4BEC"/>
    <w:rsid w:val="008C642E"/>
    <w:rsid w:val="008D151B"/>
    <w:rsid w:val="008D1CF7"/>
    <w:rsid w:val="008D2BBE"/>
    <w:rsid w:val="008D45EE"/>
    <w:rsid w:val="008D75E2"/>
    <w:rsid w:val="008E05BD"/>
    <w:rsid w:val="008E1ED4"/>
    <w:rsid w:val="008E1EE3"/>
    <w:rsid w:val="008E3EA3"/>
    <w:rsid w:val="008E5237"/>
    <w:rsid w:val="008E55F4"/>
    <w:rsid w:val="008E6712"/>
    <w:rsid w:val="008F03C3"/>
    <w:rsid w:val="008F2043"/>
    <w:rsid w:val="008F3080"/>
    <w:rsid w:val="008F3CAF"/>
    <w:rsid w:val="008F4A64"/>
    <w:rsid w:val="008F4CC9"/>
    <w:rsid w:val="008F58C8"/>
    <w:rsid w:val="008F5EF2"/>
    <w:rsid w:val="009024EF"/>
    <w:rsid w:val="00905975"/>
    <w:rsid w:val="00906F33"/>
    <w:rsid w:val="00910375"/>
    <w:rsid w:val="00915AE6"/>
    <w:rsid w:val="0091623B"/>
    <w:rsid w:val="00916EE8"/>
    <w:rsid w:val="0091715B"/>
    <w:rsid w:val="00920E29"/>
    <w:rsid w:val="00920EB5"/>
    <w:rsid w:val="00924D4F"/>
    <w:rsid w:val="00931F99"/>
    <w:rsid w:val="00937CC6"/>
    <w:rsid w:val="00940EB6"/>
    <w:rsid w:val="009422AC"/>
    <w:rsid w:val="009456DB"/>
    <w:rsid w:val="009467BC"/>
    <w:rsid w:val="0094726D"/>
    <w:rsid w:val="009567BE"/>
    <w:rsid w:val="00956AA6"/>
    <w:rsid w:val="00956D5A"/>
    <w:rsid w:val="009624D8"/>
    <w:rsid w:val="00966D8A"/>
    <w:rsid w:val="00967A5A"/>
    <w:rsid w:val="00970585"/>
    <w:rsid w:val="009716C2"/>
    <w:rsid w:val="009720A9"/>
    <w:rsid w:val="00972193"/>
    <w:rsid w:val="00972DC3"/>
    <w:rsid w:val="00973456"/>
    <w:rsid w:val="009741C2"/>
    <w:rsid w:val="00974726"/>
    <w:rsid w:val="00974923"/>
    <w:rsid w:val="00975279"/>
    <w:rsid w:val="009767C5"/>
    <w:rsid w:val="00985EF6"/>
    <w:rsid w:val="00990D31"/>
    <w:rsid w:val="00991B28"/>
    <w:rsid w:val="0099218E"/>
    <w:rsid w:val="00993355"/>
    <w:rsid w:val="0099394D"/>
    <w:rsid w:val="009942C9"/>
    <w:rsid w:val="00994B31"/>
    <w:rsid w:val="00996556"/>
    <w:rsid w:val="009A1F06"/>
    <w:rsid w:val="009A54E2"/>
    <w:rsid w:val="009B1127"/>
    <w:rsid w:val="009B2D37"/>
    <w:rsid w:val="009B5282"/>
    <w:rsid w:val="009B6BE4"/>
    <w:rsid w:val="009B7CEA"/>
    <w:rsid w:val="009B7FA6"/>
    <w:rsid w:val="009C030D"/>
    <w:rsid w:val="009C2510"/>
    <w:rsid w:val="009D0D1D"/>
    <w:rsid w:val="009D5F14"/>
    <w:rsid w:val="009E3D53"/>
    <w:rsid w:val="009E4FC8"/>
    <w:rsid w:val="009E53BA"/>
    <w:rsid w:val="009E770E"/>
    <w:rsid w:val="009F28C0"/>
    <w:rsid w:val="009F468F"/>
    <w:rsid w:val="009F5521"/>
    <w:rsid w:val="009F6207"/>
    <w:rsid w:val="009F6228"/>
    <w:rsid w:val="009F7F79"/>
    <w:rsid w:val="00A02E02"/>
    <w:rsid w:val="00A034C7"/>
    <w:rsid w:val="00A04EF5"/>
    <w:rsid w:val="00A10165"/>
    <w:rsid w:val="00A101B5"/>
    <w:rsid w:val="00A165F9"/>
    <w:rsid w:val="00A1760D"/>
    <w:rsid w:val="00A20C1F"/>
    <w:rsid w:val="00A20C63"/>
    <w:rsid w:val="00A26115"/>
    <w:rsid w:val="00A31A5D"/>
    <w:rsid w:val="00A34575"/>
    <w:rsid w:val="00A35D13"/>
    <w:rsid w:val="00A36AF7"/>
    <w:rsid w:val="00A45A17"/>
    <w:rsid w:val="00A50353"/>
    <w:rsid w:val="00A50368"/>
    <w:rsid w:val="00A51B26"/>
    <w:rsid w:val="00A52AD4"/>
    <w:rsid w:val="00A622FF"/>
    <w:rsid w:val="00A62AD7"/>
    <w:rsid w:val="00A63BCD"/>
    <w:rsid w:val="00A66490"/>
    <w:rsid w:val="00A700BB"/>
    <w:rsid w:val="00A70353"/>
    <w:rsid w:val="00A70F3A"/>
    <w:rsid w:val="00A77B8D"/>
    <w:rsid w:val="00A77EFA"/>
    <w:rsid w:val="00A819BE"/>
    <w:rsid w:val="00A822A5"/>
    <w:rsid w:val="00A824D6"/>
    <w:rsid w:val="00A82C70"/>
    <w:rsid w:val="00A8315E"/>
    <w:rsid w:val="00A86362"/>
    <w:rsid w:val="00A912A5"/>
    <w:rsid w:val="00A923DD"/>
    <w:rsid w:val="00A93AEF"/>
    <w:rsid w:val="00AA4269"/>
    <w:rsid w:val="00AA46E4"/>
    <w:rsid w:val="00AA688E"/>
    <w:rsid w:val="00AA7571"/>
    <w:rsid w:val="00AB0C41"/>
    <w:rsid w:val="00AB5712"/>
    <w:rsid w:val="00AC3CDE"/>
    <w:rsid w:val="00AC4056"/>
    <w:rsid w:val="00AC5194"/>
    <w:rsid w:val="00AC5DD9"/>
    <w:rsid w:val="00AC621B"/>
    <w:rsid w:val="00AD52B5"/>
    <w:rsid w:val="00AD63D4"/>
    <w:rsid w:val="00AE17FB"/>
    <w:rsid w:val="00AE336E"/>
    <w:rsid w:val="00AE3C4B"/>
    <w:rsid w:val="00AE4901"/>
    <w:rsid w:val="00AE5587"/>
    <w:rsid w:val="00AE6BC5"/>
    <w:rsid w:val="00AF4E74"/>
    <w:rsid w:val="00AF53FC"/>
    <w:rsid w:val="00B02FB3"/>
    <w:rsid w:val="00B0521D"/>
    <w:rsid w:val="00B06031"/>
    <w:rsid w:val="00B06DCB"/>
    <w:rsid w:val="00B1022B"/>
    <w:rsid w:val="00B14052"/>
    <w:rsid w:val="00B16420"/>
    <w:rsid w:val="00B21CCB"/>
    <w:rsid w:val="00B22200"/>
    <w:rsid w:val="00B24DE4"/>
    <w:rsid w:val="00B25F8F"/>
    <w:rsid w:val="00B26D66"/>
    <w:rsid w:val="00B27CF9"/>
    <w:rsid w:val="00B30660"/>
    <w:rsid w:val="00B327D9"/>
    <w:rsid w:val="00B34E2C"/>
    <w:rsid w:val="00B355C3"/>
    <w:rsid w:val="00B35C6D"/>
    <w:rsid w:val="00B37039"/>
    <w:rsid w:val="00B40E27"/>
    <w:rsid w:val="00B41F12"/>
    <w:rsid w:val="00B42B0F"/>
    <w:rsid w:val="00B431DE"/>
    <w:rsid w:val="00B437BF"/>
    <w:rsid w:val="00B44008"/>
    <w:rsid w:val="00B4685F"/>
    <w:rsid w:val="00B47AF4"/>
    <w:rsid w:val="00B57D5D"/>
    <w:rsid w:val="00B66913"/>
    <w:rsid w:val="00B766FE"/>
    <w:rsid w:val="00B77482"/>
    <w:rsid w:val="00B776C8"/>
    <w:rsid w:val="00B77996"/>
    <w:rsid w:val="00B841B4"/>
    <w:rsid w:val="00B86F3B"/>
    <w:rsid w:val="00B900B4"/>
    <w:rsid w:val="00B9401D"/>
    <w:rsid w:val="00B94EFC"/>
    <w:rsid w:val="00B95B75"/>
    <w:rsid w:val="00BA1240"/>
    <w:rsid w:val="00BA4AF6"/>
    <w:rsid w:val="00BA5D5D"/>
    <w:rsid w:val="00BB6CE7"/>
    <w:rsid w:val="00BC2474"/>
    <w:rsid w:val="00BC4A05"/>
    <w:rsid w:val="00BC502D"/>
    <w:rsid w:val="00BC571C"/>
    <w:rsid w:val="00BC79F9"/>
    <w:rsid w:val="00BD18F5"/>
    <w:rsid w:val="00BD1A57"/>
    <w:rsid w:val="00BD5EDC"/>
    <w:rsid w:val="00BE030E"/>
    <w:rsid w:val="00BE059A"/>
    <w:rsid w:val="00BE4500"/>
    <w:rsid w:val="00BE5B08"/>
    <w:rsid w:val="00BE65FD"/>
    <w:rsid w:val="00BE6969"/>
    <w:rsid w:val="00BF0CC8"/>
    <w:rsid w:val="00BF6924"/>
    <w:rsid w:val="00BF6C74"/>
    <w:rsid w:val="00C00391"/>
    <w:rsid w:val="00C003F5"/>
    <w:rsid w:val="00C02BEC"/>
    <w:rsid w:val="00C0323F"/>
    <w:rsid w:val="00C05743"/>
    <w:rsid w:val="00C069EE"/>
    <w:rsid w:val="00C06DFE"/>
    <w:rsid w:val="00C21E23"/>
    <w:rsid w:val="00C22A3C"/>
    <w:rsid w:val="00C26ACD"/>
    <w:rsid w:val="00C323EF"/>
    <w:rsid w:val="00C42F8E"/>
    <w:rsid w:val="00C45132"/>
    <w:rsid w:val="00C4559B"/>
    <w:rsid w:val="00C46A48"/>
    <w:rsid w:val="00C470A1"/>
    <w:rsid w:val="00C53710"/>
    <w:rsid w:val="00C550E4"/>
    <w:rsid w:val="00C63234"/>
    <w:rsid w:val="00C6656F"/>
    <w:rsid w:val="00C6721C"/>
    <w:rsid w:val="00C67C00"/>
    <w:rsid w:val="00C7357C"/>
    <w:rsid w:val="00C80A96"/>
    <w:rsid w:val="00C83725"/>
    <w:rsid w:val="00C83BE6"/>
    <w:rsid w:val="00C83D4F"/>
    <w:rsid w:val="00C878BA"/>
    <w:rsid w:val="00C909B6"/>
    <w:rsid w:val="00C92707"/>
    <w:rsid w:val="00C94E07"/>
    <w:rsid w:val="00C964CA"/>
    <w:rsid w:val="00CA0743"/>
    <w:rsid w:val="00CA38AF"/>
    <w:rsid w:val="00CA72A7"/>
    <w:rsid w:val="00CB0FF6"/>
    <w:rsid w:val="00CB374A"/>
    <w:rsid w:val="00CB37A1"/>
    <w:rsid w:val="00CC1A8A"/>
    <w:rsid w:val="00CC1FFC"/>
    <w:rsid w:val="00CC35AA"/>
    <w:rsid w:val="00CC3F97"/>
    <w:rsid w:val="00CC6E18"/>
    <w:rsid w:val="00CC7D44"/>
    <w:rsid w:val="00CD166A"/>
    <w:rsid w:val="00CD232A"/>
    <w:rsid w:val="00CD391D"/>
    <w:rsid w:val="00CD52FA"/>
    <w:rsid w:val="00CD54EA"/>
    <w:rsid w:val="00CD6114"/>
    <w:rsid w:val="00CE0FDD"/>
    <w:rsid w:val="00CE20F7"/>
    <w:rsid w:val="00CE2869"/>
    <w:rsid w:val="00CE3A75"/>
    <w:rsid w:val="00CE4B8B"/>
    <w:rsid w:val="00CE598E"/>
    <w:rsid w:val="00CE6127"/>
    <w:rsid w:val="00CE70B7"/>
    <w:rsid w:val="00CF3F85"/>
    <w:rsid w:val="00CF477C"/>
    <w:rsid w:val="00D025C4"/>
    <w:rsid w:val="00D03D31"/>
    <w:rsid w:val="00D05171"/>
    <w:rsid w:val="00D06D71"/>
    <w:rsid w:val="00D077D8"/>
    <w:rsid w:val="00D10E20"/>
    <w:rsid w:val="00D12764"/>
    <w:rsid w:val="00D13538"/>
    <w:rsid w:val="00D137CD"/>
    <w:rsid w:val="00D22EC3"/>
    <w:rsid w:val="00D3024A"/>
    <w:rsid w:val="00D305E5"/>
    <w:rsid w:val="00D32D7E"/>
    <w:rsid w:val="00D41DF4"/>
    <w:rsid w:val="00D423D8"/>
    <w:rsid w:val="00D4289F"/>
    <w:rsid w:val="00D46A1E"/>
    <w:rsid w:val="00D50CEC"/>
    <w:rsid w:val="00D51BB3"/>
    <w:rsid w:val="00D52474"/>
    <w:rsid w:val="00D53CB7"/>
    <w:rsid w:val="00D565DB"/>
    <w:rsid w:val="00D609CC"/>
    <w:rsid w:val="00D67302"/>
    <w:rsid w:val="00D70433"/>
    <w:rsid w:val="00D7089F"/>
    <w:rsid w:val="00D726D2"/>
    <w:rsid w:val="00D7314A"/>
    <w:rsid w:val="00D80A2A"/>
    <w:rsid w:val="00D81DEC"/>
    <w:rsid w:val="00D82697"/>
    <w:rsid w:val="00D83542"/>
    <w:rsid w:val="00D869B9"/>
    <w:rsid w:val="00D87A03"/>
    <w:rsid w:val="00DA0CC7"/>
    <w:rsid w:val="00DA3BDA"/>
    <w:rsid w:val="00DA44D1"/>
    <w:rsid w:val="00DA672B"/>
    <w:rsid w:val="00DA6FDA"/>
    <w:rsid w:val="00DB2877"/>
    <w:rsid w:val="00DB465A"/>
    <w:rsid w:val="00DB5A6B"/>
    <w:rsid w:val="00DB7A93"/>
    <w:rsid w:val="00DC1C5D"/>
    <w:rsid w:val="00DC2A98"/>
    <w:rsid w:val="00DC37D8"/>
    <w:rsid w:val="00DC7D45"/>
    <w:rsid w:val="00DD7C9E"/>
    <w:rsid w:val="00DE08B4"/>
    <w:rsid w:val="00DE543C"/>
    <w:rsid w:val="00DE5C38"/>
    <w:rsid w:val="00DF2169"/>
    <w:rsid w:val="00DF30EC"/>
    <w:rsid w:val="00E0659D"/>
    <w:rsid w:val="00E06FBB"/>
    <w:rsid w:val="00E10140"/>
    <w:rsid w:val="00E119BC"/>
    <w:rsid w:val="00E14A9A"/>
    <w:rsid w:val="00E1601D"/>
    <w:rsid w:val="00E202C5"/>
    <w:rsid w:val="00E23301"/>
    <w:rsid w:val="00E238A8"/>
    <w:rsid w:val="00E23D9E"/>
    <w:rsid w:val="00E24A8A"/>
    <w:rsid w:val="00E27F5C"/>
    <w:rsid w:val="00E46E05"/>
    <w:rsid w:val="00E534CC"/>
    <w:rsid w:val="00E53EB0"/>
    <w:rsid w:val="00E5498D"/>
    <w:rsid w:val="00E5537F"/>
    <w:rsid w:val="00E55932"/>
    <w:rsid w:val="00E57147"/>
    <w:rsid w:val="00E57425"/>
    <w:rsid w:val="00E60A21"/>
    <w:rsid w:val="00E60F9B"/>
    <w:rsid w:val="00E61D5F"/>
    <w:rsid w:val="00E621F3"/>
    <w:rsid w:val="00E63635"/>
    <w:rsid w:val="00E65E78"/>
    <w:rsid w:val="00E66EA6"/>
    <w:rsid w:val="00E6722A"/>
    <w:rsid w:val="00E735FD"/>
    <w:rsid w:val="00E74807"/>
    <w:rsid w:val="00E74AF0"/>
    <w:rsid w:val="00E75D28"/>
    <w:rsid w:val="00E833DF"/>
    <w:rsid w:val="00E8526D"/>
    <w:rsid w:val="00E8582F"/>
    <w:rsid w:val="00E86478"/>
    <w:rsid w:val="00E90F71"/>
    <w:rsid w:val="00E91325"/>
    <w:rsid w:val="00E94110"/>
    <w:rsid w:val="00E9557A"/>
    <w:rsid w:val="00E972AB"/>
    <w:rsid w:val="00EA0B20"/>
    <w:rsid w:val="00EA1843"/>
    <w:rsid w:val="00EA1DE4"/>
    <w:rsid w:val="00EA30FF"/>
    <w:rsid w:val="00EA5038"/>
    <w:rsid w:val="00EA5F5C"/>
    <w:rsid w:val="00EB1346"/>
    <w:rsid w:val="00EB26CC"/>
    <w:rsid w:val="00EB4D9D"/>
    <w:rsid w:val="00EC0381"/>
    <w:rsid w:val="00EC1CD6"/>
    <w:rsid w:val="00EC35F8"/>
    <w:rsid w:val="00EC3E66"/>
    <w:rsid w:val="00EC704C"/>
    <w:rsid w:val="00EE3401"/>
    <w:rsid w:val="00EE59FB"/>
    <w:rsid w:val="00EE6BFB"/>
    <w:rsid w:val="00EE6C70"/>
    <w:rsid w:val="00EF38EF"/>
    <w:rsid w:val="00EF5906"/>
    <w:rsid w:val="00EF5C40"/>
    <w:rsid w:val="00F00738"/>
    <w:rsid w:val="00F03061"/>
    <w:rsid w:val="00F03631"/>
    <w:rsid w:val="00F06639"/>
    <w:rsid w:val="00F06EA2"/>
    <w:rsid w:val="00F106E2"/>
    <w:rsid w:val="00F169DC"/>
    <w:rsid w:val="00F20BB7"/>
    <w:rsid w:val="00F23F35"/>
    <w:rsid w:val="00F30875"/>
    <w:rsid w:val="00F30992"/>
    <w:rsid w:val="00F343B9"/>
    <w:rsid w:val="00F353BB"/>
    <w:rsid w:val="00F4070F"/>
    <w:rsid w:val="00F419DD"/>
    <w:rsid w:val="00F471F3"/>
    <w:rsid w:val="00F47B20"/>
    <w:rsid w:val="00F5524C"/>
    <w:rsid w:val="00F55D2B"/>
    <w:rsid w:val="00F55E56"/>
    <w:rsid w:val="00F57AEF"/>
    <w:rsid w:val="00F60263"/>
    <w:rsid w:val="00F64463"/>
    <w:rsid w:val="00F64ABB"/>
    <w:rsid w:val="00F66379"/>
    <w:rsid w:val="00F70033"/>
    <w:rsid w:val="00F72E6F"/>
    <w:rsid w:val="00F76473"/>
    <w:rsid w:val="00F81DB4"/>
    <w:rsid w:val="00F83895"/>
    <w:rsid w:val="00F873B3"/>
    <w:rsid w:val="00F87898"/>
    <w:rsid w:val="00F90B3D"/>
    <w:rsid w:val="00F965F3"/>
    <w:rsid w:val="00F97114"/>
    <w:rsid w:val="00FA04D1"/>
    <w:rsid w:val="00FA0C4F"/>
    <w:rsid w:val="00FA1A21"/>
    <w:rsid w:val="00FA5EA9"/>
    <w:rsid w:val="00FA6E92"/>
    <w:rsid w:val="00FB0A0F"/>
    <w:rsid w:val="00FB167E"/>
    <w:rsid w:val="00FB22E7"/>
    <w:rsid w:val="00FB6BB0"/>
    <w:rsid w:val="00FB79D7"/>
    <w:rsid w:val="00FC063D"/>
    <w:rsid w:val="00FC2525"/>
    <w:rsid w:val="00FC5332"/>
    <w:rsid w:val="00FC67EC"/>
    <w:rsid w:val="00FC7E7E"/>
    <w:rsid w:val="00FD3359"/>
    <w:rsid w:val="00FD7185"/>
    <w:rsid w:val="00FE1A4C"/>
    <w:rsid w:val="00FE47D5"/>
    <w:rsid w:val="00FE49A4"/>
    <w:rsid w:val="00FE695D"/>
    <w:rsid w:val="00FE7616"/>
    <w:rsid w:val="00FF0B5C"/>
    <w:rsid w:val="00FF0FF4"/>
    <w:rsid w:val="00FF6861"/>
    <w:rsid w:val="00FF7B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E7B4B4B"/>
  <w15:docId w15:val="{B381A729-80B0-463A-9651-3C3D338B2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Normal (blok 7)"/>
    <w:qFormat/>
    <w:rsid w:val="008F3CAF"/>
    <w:pPr>
      <w:spacing w:line="280" w:lineRule="exact"/>
      <w:jc w:val="both"/>
    </w:pPr>
    <w:rPr>
      <w:rFonts w:ascii="Arial" w:hAnsi="Arial"/>
      <w:sz w:val="19"/>
      <w:szCs w:val="24"/>
      <w:lang w:eastAsia="en-US"/>
    </w:rPr>
  </w:style>
  <w:style w:type="paragraph" w:styleId="Nadpis1">
    <w:name w:val="heading 1"/>
    <w:aliases w:val="Nadpis 1 Char,Nadpis 1 Char1,Nadpis 1 Char Char,1,H1,l1,level 1 heading,Nadpis 1 Char3,Nadpis Char,1 Char,Nadpis 1 Char Char2,Nadpis 1 Char1 Char,Nadpis 1 Char Char Char,Nadpis 11 Char,Nadpis 1 Char Char1 Char,Nadpis 1 Char2 Char,ABB,Nadpis"/>
    <w:basedOn w:val="Normln"/>
    <w:next w:val="Normln"/>
    <w:qFormat/>
    <w:rsid w:val="0082712D"/>
    <w:pPr>
      <w:keepNext/>
      <w:numPr>
        <w:numId w:val="3"/>
      </w:numPr>
      <w:spacing w:before="120" w:after="120" w:line="240" w:lineRule="exact"/>
      <w:outlineLvl w:val="0"/>
    </w:pPr>
    <w:rPr>
      <w:rFonts w:cs="Arial"/>
      <w:b/>
      <w:bCs/>
      <w:kern w:val="32"/>
      <w:sz w:val="24"/>
    </w:rPr>
  </w:style>
  <w:style w:type="paragraph" w:styleId="Nadpis2">
    <w:name w:val="heading 2"/>
    <w:aliases w:val="Nadpis 2 Char,KJL:1st Level,2,l2,level 2 heading,Nadpis2,Nadpis 21,Nadpis 2 Char Char1,Nadpis 2 Char11,Nadpis 2 Char1 Char1,Nadpis2 Char1,Nadpis 2 Char Char Char Char1,Nadpis 2 Char2,Nadpis21,ABB.,Nadpis 2 Char Char,Nadpis 2 Char1,Nadpis2 Char"/>
    <w:basedOn w:val="Normln"/>
    <w:next w:val="Normln"/>
    <w:link w:val="Nadpis2Char3"/>
    <w:qFormat/>
    <w:rsid w:val="0082712D"/>
    <w:pPr>
      <w:keepNext/>
      <w:numPr>
        <w:ilvl w:val="1"/>
        <w:numId w:val="3"/>
      </w:numPr>
      <w:spacing w:before="120" w:after="120" w:line="240" w:lineRule="exact"/>
      <w:outlineLvl w:val="1"/>
    </w:pPr>
    <w:rPr>
      <w:rFonts w:cs="Arial"/>
      <w:b/>
      <w:bCs/>
      <w:iCs/>
      <w:sz w:val="22"/>
      <w:szCs w:val="22"/>
    </w:rPr>
  </w:style>
  <w:style w:type="paragraph" w:styleId="Nadpis3">
    <w:name w:val="heading 3"/>
    <w:aliases w:val="Nadpis 3 velká písmena,Titul1,ABB.."/>
    <w:basedOn w:val="Normln"/>
    <w:next w:val="Normln"/>
    <w:link w:val="Nadpis3Char"/>
    <w:qFormat/>
    <w:rsid w:val="0082712D"/>
    <w:pPr>
      <w:keepNext/>
      <w:numPr>
        <w:ilvl w:val="2"/>
        <w:numId w:val="3"/>
      </w:numPr>
      <w:spacing w:before="120" w:after="120" w:line="240" w:lineRule="exact"/>
      <w:outlineLvl w:val="2"/>
    </w:pPr>
    <w:rPr>
      <w:rFonts w:cs="Arial"/>
      <w:b/>
      <w:bCs/>
      <w:sz w:val="20"/>
      <w:szCs w:val="20"/>
    </w:rPr>
  </w:style>
  <w:style w:type="paragraph" w:styleId="Nadpis4">
    <w:name w:val="heading 4"/>
    <w:aliases w:val="Titul2,ABB...,_"/>
    <w:basedOn w:val="Normln"/>
    <w:next w:val="Normln"/>
    <w:qFormat/>
    <w:rsid w:val="0082712D"/>
    <w:pPr>
      <w:keepNext/>
      <w:numPr>
        <w:ilvl w:val="3"/>
        <w:numId w:val="3"/>
      </w:numPr>
      <w:spacing w:before="120" w:after="120" w:line="240" w:lineRule="exact"/>
      <w:outlineLvl w:val="3"/>
    </w:pPr>
    <w:rPr>
      <w:b/>
      <w:bCs/>
      <w:szCs w:val="19"/>
    </w:rPr>
  </w:style>
  <w:style w:type="paragraph" w:styleId="Nadpis5">
    <w:name w:val="heading 5"/>
    <w:aliases w:val="a),a) F5"/>
    <w:basedOn w:val="Normln"/>
    <w:next w:val="Normln"/>
    <w:qFormat/>
    <w:rsid w:val="0026334E"/>
    <w:pPr>
      <w:numPr>
        <w:ilvl w:val="4"/>
        <w:numId w:val="3"/>
      </w:numPr>
      <w:spacing w:before="240" w:after="60"/>
      <w:outlineLvl w:val="4"/>
    </w:pPr>
    <w:rPr>
      <w:b/>
      <w:bCs/>
      <w:i/>
      <w:iCs/>
      <w:sz w:val="26"/>
      <w:szCs w:val="26"/>
    </w:rPr>
  </w:style>
  <w:style w:type="paragraph" w:styleId="Nadpis6">
    <w:name w:val="heading 6"/>
    <w:aliases w:val=" nein,nein"/>
    <w:basedOn w:val="Normln"/>
    <w:next w:val="Normln"/>
    <w:qFormat/>
    <w:rsid w:val="0026334E"/>
    <w:pPr>
      <w:numPr>
        <w:ilvl w:val="5"/>
        <w:numId w:val="3"/>
      </w:numPr>
      <w:spacing w:before="240" w:after="60"/>
      <w:outlineLvl w:val="5"/>
    </w:pPr>
    <w:rPr>
      <w:rFonts w:ascii="Times New Roman" w:hAnsi="Times New Roman"/>
      <w:b/>
      <w:bCs/>
      <w:sz w:val="22"/>
      <w:szCs w:val="22"/>
    </w:rPr>
  </w:style>
  <w:style w:type="paragraph" w:styleId="Nadpis7">
    <w:name w:val="heading 7"/>
    <w:basedOn w:val="Normln"/>
    <w:next w:val="Normln"/>
    <w:qFormat/>
    <w:rsid w:val="0026334E"/>
    <w:pPr>
      <w:numPr>
        <w:ilvl w:val="6"/>
        <w:numId w:val="3"/>
      </w:numPr>
      <w:spacing w:before="240" w:after="60"/>
      <w:outlineLvl w:val="6"/>
    </w:pPr>
    <w:rPr>
      <w:rFonts w:ascii="Times New Roman" w:hAnsi="Times New Roman"/>
      <w:sz w:val="24"/>
    </w:rPr>
  </w:style>
  <w:style w:type="paragraph" w:styleId="Nadpis8">
    <w:name w:val="heading 8"/>
    <w:basedOn w:val="Normln"/>
    <w:next w:val="Normln"/>
    <w:qFormat/>
    <w:rsid w:val="0026334E"/>
    <w:pPr>
      <w:numPr>
        <w:ilvl w:val="7"/>
        <w:numId w:val="3"/>
      </w:numPr>
      <w:spacing w:before="240" w:after="60"/>
      <w:outlineLvl w:val="7"/>
    </w:pPr>
    <w:rPr>
      <w:rFonts w:ascii="Times New Roman" w:hAnsi="Times New Roman"/>
      <w:i/>
      <w:iCs/>
      <w:sz w:val="24"/>
    </w:rPr>
  </w:style>
  <w:style w:type="paragraph" w:styleId="Nadpis9">
    <w:name w:val="heading 9"/>
    <w:aliases w:val="Normální_"/>
    <w:basedOn w:val="Normln"/>
    <w:next w:val="Normln"/>
    <w:qFormat/>
    <w:rsid w:val="0026334E"/>
    <w:pPr>
      <w:numPr>
        <w:ilvl w:val="8"/>
        <w:numId w:val="3"/>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seznamu">
    <w:name w:val="No List"/>
    <w:uiPriority w:val="99"/>
    <w:semiHidden/>
    <w:unhideWhenUsed/>
  </w:style>
  <w:style w:type="paragraph" w:customStyle="1" w:styleId="NAWgegevensblok6">
    <w:name w:val="NAW gegevens (blok 6)"/>
    <w:basedOn w:val="Normln"/>
    <w:link w:val="NAWgegevensblok6Char"/>
    <w:rsid w:val="008F3CAF"/>
    <w:pPr>
      <w:jc w:val="left"/>
    </w:pPr>
    <w:rPr>
      <w:szCs w:val="19"/>
    </w:rPr>
  </w:style>
  <w:style w:type="paragraph" w:customStyle="1" w:styleId="DocumentInfoblok5">
    <w:name w:val="DocumentInfo (blok 5)"/>
    <w:basedOn w:val="Normln"/>
    <w:link w:val="DocumentInfoblok5Char"/>
    <w:rsid w:val="00B24DE4"/>
    <w:pPr>
      <w:spacing w:line="200" w:lineRule="exact"/>
      <w:jc w:val="left"/>
    </w:pPr>
    <w:rPr>
      <w:sz w:val="15"/>
    </w:rPr>
  </w:style>
  <w:style w:type="paragraph" w:customStyle="1" w:styleId="Mededelingblok4">
    <w:name w:val="Mededeling (blok 4)"/>
    <w:basedOn w:val="Normln"/>
    <w:rsid w:val="008F3CAF"/>
    <w:pPr>
      <w:spacing w:line="200" w:lineRule="exact"/>
      <w:jc w:val="left"/>
    </w:pPr>
    <w:rPr>
      <w:i/>
      <w:sz w:val="15"/>
    </w:rPr>
  </w:style>
  <w:style w:type="paragraph" w:customStyle="1" w:styleId="DocumentInfoOnderwerpblok5">
    <w:name w:val="DocumentInfo_Onderwerp (blok 5)"/>
    <w:basedOn w:val="DocumentInfoblok5"/>
    <w:next w:val="DocumentInfoblok5"/>
    <w:link w:val="DocumentInfoOnderwerpblok5Char"/>
    <w:rsid w:val="008F3CAF"/>
    <w:rPr>
      <w:b/>
    </w:rPr>
  </w:style>
  <w:style w:type="paragraph" w:customStyle="1" w:styleId="Bankgegevensblok8">
    <w:name w:val="Bankgegevens (blok 8)"/>
    <w:basedOn w:val="Normln"/>
    <w:rsid w:val="008F3CAF"/>
    <w:pPr>
      <w:spacing w:line="200" w:lineRule="exact"/>
    </w:pPr>
    <w:rPr>
      <w:sz w:val="15"/>
    </w:rPr>
  </w:style>
  <w:style w:type="paragraph" w:customStyle="1" w:styleId="AdresGegevensblok2">
    <w:name w:val="AdresGegevens (blok 2)"/>
    <w:basedOn w:val="Normln"/>
    <w:rsid w:val="008F3CAF"/>
    <w:pPr>
      <w:spacing w:line="200" w:lineRule="exact"/>
      <w:jc w:val="left"/>
    </w:pPr>
    <w:rPr>
      <w:sz w:val="15"/>
    </w:rPr>
  </w:style>
  <w:style w:type="paragraph" w:customStyle="1" w:styleId="AdresGegevensNaamblok2">
    <w:name w:val="AdresGegevens_Naam (blok 2)"/>
    <w:basedOn w:val="AdresGegevensblok2"/>
    <w:next w:val="AdresGegevensblok2"/>
    <w:rsid w:val="008F3CAF"/>
    <w:rPr>
      <w:b/>
    </w:rPr>
  </w:style>
  <w:style w:type="paragraph" w:customStyle="1" w:styleId="DocumentNaamblok3">
    <w:name w:val="DocumentNaam (blok 3)"/>
    <w:basedOn w:val="Normln"/>
    <w:next w:val="Normln"/>
    <w:rsid w:val="008F3CAF"/>
    <w:pPr>
      <w:jc w:val="left"/>
    </w:pPr>
    <w:rPr>
      <w:b/>
      <w:sz w:val="22"/>
    </w:rPr>
  </w:style>
  <w:style w:type="paragraph" w:customStyle="1" w:styleId="Mededelingenblok7">
    <w:name w:val="Mededelingen (blok 7)"/>
    <w:basedOn w:val="Normln"/>
    <w:rsid w:val="008F3CAF"/>
    <w:pPr>
      <w:spacing w:line="200" w:lineRule="exact"/>
    </w:pPr>
    <w:rPr>
      <w:i/>
      <w:sz w:val="15"/>
    </w:rPr>
  </w:style>
  <w:style w:type="paragraph" w:customStyle="1" w:styleId="Titelreport">
    <w:name w:val="Titel_report"/>
    <w:basedOn w:val="Normln"/>
    <w:rsid w:val="00DE5C38"/>
    <w:pPr>
      <w:framePr w:wrap="around" w:vAnchor="page" w:hAnchor="page" w:x="1702" w:y="2836"/>
      <w:jc w:val="left"/>
    </w:pPr>
    <w:rPr>
      <w:b/>
      <w:sz w:val="24"/>
    </w:rPr>
  </w:style>
  <w:style w:type="paragraph" w:customStyle="1" w:styleId="DocumentGegevensblok3a">
    <w:name w:val="DocumentGegevens (blok 3a)"/>
    <w:basedOn w:val="Normln"/>
    <w:rsid w:val="001D258E"/>
    <w:pPr>
      <w:spacing w:line="200" w:lineRule="exact"/>
      <w:jc w:val="left"/>
    </w:pPr>
    <w:rPr>
      <w:sz w:val="15"/>
    </w:rPr>
  </w:style>
  <w:style w:type="paragraph" w:customStyle="1" w:styleId="DocumentGegevenssubblok3a">
    <w:name w:val="DocumentGegevens_sub (blok 3a)"/>
    <w:basedOn w:val="DocumentGegevensblok3a"/>
    <w:rsid w:val="001D258E"/>
    <w:rPr>
      <w:i/>
    </w:rPr>
  </w:style>
  <w:style w:type="paragraph" w:styleId="Zhlav">
    <w:name w:val="header"/>
    <w:aliases w:val="1. Zeile,   1. Zeile,text záhlaví"/>
    <w:basedOn w:val="Normln"/>
    <w:rsid w:val="00FA6E92"/>
    <w:pPr>
      <w:tabs>
        <w:tab w:val="center" w:pos="4320"/>
        <w:tab w:val="right" w:pos="8640"/>
      </w:tabs>
    </w:pPr>
  </w:style>
  <w:style w:type="paragraph" w:styleId="Zpat">
    <w:name w:val="footer"/>
    <w:basedOn w:val="Normln"/>
    <w:link w:val="ZpatChar"/>
    <w:rsid w:val="00FA6E92"/>
    <w:pPr>
      <w:tabs>
        <w:tab w:val="center" w:pos="4320"/>
        <w:tab w:val="right" w:pos="8640"/>
      </w:tabs>
    </w:pPr>
  </w:style>
  <w:style w:type="table" w:styleId="Mkatabulky">
    <w:name w:val="Table Grid"/>
    <w:basedOn w:val="Normlntabulka"/>
    <w:uiPriority w:val="39"/>
    <w:rsid w:val="00435F1A"/>
    <w:pPr>
      <w:spacing w:line="28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Textbubliny">
    <w:name w:val="Balloon Text"/>
    <w:basedOn w:val="Normln"/>
    <w:semiHidden/>
    <w:rsid w:val="00C46A48"/>
    <w:rPr>
      <w:rFonts w:ascii="Tahoma" w:hAnsi="Tahoma" w:cs="Tahoma"/>
      <w:sz w:val="16"/>
      <w:szCs w:val="16"/>
    </w:rPr>
  </w:style>
  <w:style w:type="character" w:customStyle="1" w:styleId="DocumentInfoblok5Char">
    <w:name w:val="DocumentInfo (blok 5) Char"/>
    <w:link w:val="DocumentInfoblok5"/>
    <w:rsid w:val="00C26ACD"/>
    <w:rPr>
      <w:rFonts w:ascii="Arial" w:hAnsi="Arial"/>
      <w:sz w:val="15"/>
      <w:szCs w:val="24"/>
      <w:lang w:val="en-US" w:eastAsia="en-US" w:bidi="ar-SA"/>
    </w:rPr>
  </w:style>
  <w:style w:type="character" w:customStyle="1" w:styleId="DocumentInfoOnderwerpblok5Char">
    <w:name w:val="DocumentInfo_Onderwerp (blok 5) Char"/>
    <w:link w:val="DocumentInfoOnderwerpblok5"/>
    <w:rsid w:val="00C26ACD"/>
    <w:rPr>
      <w:rFonts w:ascii="Arial" w:hAnsi="Arial"/>
      <w:b/>
      <w:sz w:val="15"/>
      <w:szCs w:val="24"/>
      <w:lang w:val="en-US" w:eastAsia="en-US" w:bidi="ar-SA"/>
    </w:rPr>
  </w:style>
  <w:style w:type="paragraph" w:customStyle="1" w:styleId="SubtitelReport">
    <w:name w:val="Subtitel_Report"/>
    <w:basedOn w:val="Normln"/>
    <w:rsid w:val="005637ED"/>
    <w:pPr>
      <w:framePr w:wrap="around" w:vAnchor="page" w:hAnchor="page" w:x="1702" w:y="2836"/>
    </w:pPr>
    <w:rPr>
      <w:b/>
      <w:sz w:val="20"/>
      <w:szCs w:val="22"/>
    </w:rPr>
  </w:style>
  <w:style w:type="paragraph" w:customStyle="1" w:styleId="TebwordHeading3">
    <w:name w:val="Tebword_Heading 3"/>
    <w:basedOn w:val="TebwordHeading2"/>
    <w:next w:val="Normln"/>
    <w:rsid w:val="003D564A"/>
    <w:pPr>
      <w:numPr>
        <w:ilvl w:val="2"/>
      </w:numPr>
      <w:tabs>
        <w:tab w:val="clear" w:pos="726"/>
      </w:tabs>
      <w:ind w:left="0" w:hanging="680"/>
    </w:pPr>
    <w:rPr>
      <w:sz w:val="20"/>
    </w:rPr>
  </w:style>
  <w:style w:type="paragraph" w:styleId="Obsah2">
    <w:name w:val="toc 2"/>
    <w:basedOn w:val="Obsah1"/>
    <w:next w:val="Normln"/>
    <w:autoRedefine/>
    <w:uiPriority w:val="39"/>
    <w:rsid w:val="0026334E"/>
    <w:pPr>
      <w:tabs>
        <w:tab w:val="clear" w:pos="8930"/>
        <w:tab w:val="right" w:pos="8931"/>
      </w:tabs>
      <w:spacing w:before="0"/>
    </w:pPr>
    <w:rPr>
      <w:rFonts w:cs="Times New Roman"/>
      <w:b w:val="0"/>
      <w:noProof/>
    </w:rPr>
  </w:style>
  <w:style w:type="paragraph" w:customStyle="1" w:styleId="TebwordHeading1">
    <w:name w:val="Tebword_Heading 1"/>
    <w:basedOn w:val="Normln"/>
    <w:next w:val="Normln"/>
    <w:link w:val="TebwordHeading1CharChar"/>
    <w:rsid w:val="003D564A"/>
    <w:pPr>
      <w:numPr>
        <w:numId w:val="1"/>
      </w:numPr>
      <w:tabs>
        <w:tab w:val="clear" w:pos="726"/>
        <w:tab w:val="left" w:pos="0"/>
      </w:tabs>
      <w:spacing w:before="120" w:after="120" w:line="240" w:lineRule="exact"/>
      <w:ind w:left="0" w:hanging="680"/>
    </w:pPr>
    <w:rPr>
      <w:b/>
      <w:sz w:val="24"/>
    </w:rPr>
  </w:style>
  <w:style w:type="paragraph" w:customStyle="1" w:styleId="Normalindent">
    <w:name w:val="Normal_indent"/>
    <w:basedOn w:val="Normln"/>
    <w:rsid w:val="009B6BE4"/>
    <w:pPr>
      <w:ind w:left="726"/>
    </w:pPr>
  </w:style>
  <w:style w:type="paragraph" w:customStyle="1" w:styleId="TebwordHeading2">
    <w:name w:val="Tebword_Heading 2"/>
    <w:basedOn w:val="TebwordHeading1"/>
    <w:next w:val="Normln"/>
    <w:rsid w:val="003D564A"/>
    <w:pPr>
      <w:numPr>
        <w:ilvl w:val="1"/>
      </w:numPr>
      <w:tabs>
        <w:tab w:val="clear" w:pos="726"/>
      </w:tabs>
      <w:ind w:left="0" w:hanging="680"/>
    </w:pPr>
    <w:rPr>
      <w:sz w:val="22"/>
    </w:rPr>
  </w:style>
  <w:style w:type="paragraph" w:styleId="Normlnodsazen">
    <w:name w:val="Normal Indent"/>
    <w:basedOn w:val="Normln"/>
    <w:rsid w:val="000310C5"/>
    <w:pPr>
      <w:ind w:left="1418"/>
    </w:pPr>
  </w:style>
  <w:style w:type="paragraph" w:styleId="Obsah1">
    <w:name w:val="toc 1"/>
    <w:basedOn w:val="Normln"/>
    <w:next w:val="Normln"/>
    <w:uiPriority w:val="39"/>
    <w:rsid w:val="00D10E20"/>
    <w:pPr>
      <w:tabs>
        <w:tab w:val="left" w:pos="851"/>
        <w:tab w:val="right" w:pos="8930"/>
      </w:tabs>
      <w:spacing w:before="280"/>
      <w:ind w:left="-680"/>
      <w:jc w:val="left"/>
    </w:pPr>
    <w:rPr>
      <w:rFonts w:cs="Arial"/>
      <w:b/>
      <w:bCs/>
      <w:szCs w:val="19"/>
    </w:rPr>
  </w:style>
  <w:style w:type="paragraph" w:styleId="Obsah3">
    <w:name w:val="toc 3"/>
    <w:basedOn w:val="Obsah2"/>
    <w:next w:val="Normln"/>
    <w:autoRedefine/>
    <w:semiHidden/>
    <w:rsid w:val="0026334E"/>
    <w:rPr>
      <w:rFonts w:cs="Arial"/>
      <w:bCs w:val="0"/>
    </w:rPr>
  </w:style>
  <w:style w:type="paragraph" w:styleId="Obsah4">
    <w:name w:val="toc 4"/>
    <w:basedOn w:val="Obsah3"/>
    <w:next w:val="Normln"/>
    <w:autoRedefine/>
    <w:semiHidden/>
    <w:rsid w:val="00446B73"/>
  </w:style>
  <w:style w:type="character" w:styleId="Hypertextovodkaz">
    <w:name w:val="Hyperlink"/>
    <w:uiPriority w:val="99"/>
    <w:rsid w:val="000310C5"/>
    <w:rPr>
      <w:color w:val="0000FF"/>
      <w:u w:val="single"/>
    </w:rPr>
  </w:style>
  <w:style w:type="paragraph" w:customStyle="1" w:styleId="Reportbold">
    <w:name w:val="Report_bold"/>
    <w:basedOn w:val="NAWgegevensblok6"/>
    <w:next w:val="NAWgegevensblok6"/>
    <w:link w:val="ReportboldChar"/>
    <w:rsid w:val="00DE5C38"/>
    <w:pPr>
      <w:framePr w:wrap="around" w:vAnchor="page" w:hAnchor="page" w:x="1702" w:y="2836"/>
    </w:pPr>
    <w:rPr>
      <w:b/>
    </w:rPr>
  </w:style>
  <w:style w:type="character" w:customStyle="1" w:styleId="NAWgegevensblok6Char">
    <w:name w:val="NAW gegevens (blok 6) Char"/>
    <w:link w:val="NAWgegevensblok6"/>
    <w:rsid w:val="00DE5C38"/>
    <w:rPr>
      <w:rFonts w:ascii="Arial" w:hAnsi="Arial"/>
      <w:sz w:val="19"/>
      <w:szCs w:val="19"/>
      <w:lang w:val="en-US" w:eastAsia="en-US" w:bidi="ar-SA"/>
    </w:rPr>
  </w:style>
  <w:style w:type="character" w:customStyle="1" w:styleId="ReportboldChar">
    <w:name w:val="Report_bold Char"/>
    <w:link w:val="Reportbold"/>
    <w:rsid w:val="00DE5C38"/>
    <w:rPr>
      <w:rFonts w:ascii="Arial" w:hAnsi="Arial"/>
      <w:b/>
      <w:sz w:val="19"/>
      <w:szCs w:val="19"/>
      <w:lang w:val="en-US" w:eastAsia="en-US" w:bidi="ar-SA"/>
    </w:rPr>
  </w:style>
  <w:style w:type="character" w:styleId="slostrnky">
    <w:name w:val="page number"/>
    <w:basedOn w:val="Standardnpsmoodstavce"/>
    <w:rsid w:val="006952B2"/>
  </w:style>
  <w:style w:type="character" w:customStyle="1" w:styleId="TebwordHeading1CharChar">
    <w:name w:val="Tebword_Heading 1 Char Char"/>
    <w:link w:val="TebwordHeading1"/>
    <w:rsid w:val="003D564A"/>
    <w:rPr>
      <w:rFonts w:ascii="Arial" w:hAnsi="Arial"/>
      <w:b/>
      <w:sz w:val="24"/>
      <w:szCs w:val="24"/>
      <w:lang w:eastAsia="en-US"/>
    </w:rPr>
  </w:style>
  <w:style w:type="paragraph" w:customStyle="1" w:styleId="TebwordHeading4">
    <w:name w:val="Tebword_Heading 4"/>
    <w:basedOn w:val="TebwordHeading3"/>
    <w:next w:val="Normln"/>
    <w:rsid w:val="003D564A"/>
    <w:pPr>
      <w:numPr>
        <w:ilvl w:val="3"/>
      </w:numPr>
      <w:tabs>
        <w:tab w:val="clear" w:pos="726"/>
      </w:tabs>
      <w:ind w:left="0" w:hanging="680"/>
    </w:pPr>
    <w:rPr>
      <w:sz w:val="19"/>
    </w:rPr>
  </w:style>
  <w:style w:type="paragraph" w:customStyle="1" w:styleId="TWHeading2noTOC">
    <w:name w:val="TW_Heading2_noTOC"/>
    <w:basedOn w:val="TebwordHeading2"/>
    <w:next w:val="Normln"/>
    <w:rsid w:val="003D564A"/>
    <w:rPr>
      <w:b w:val="0"/>
      <w:sz w:val="19"/>
    </w:rPr>
  </w:style>
  <w:style w:type="paragraph" w:customStyle="1" w:styleId="TWHeading3noTOC">
    <w:name w:val="TW_Heading3_noTOC"/>
    <w:basedOn w:val="TebwordHeading3"/>
    <w:next w:val="Normln"/>
    <w:rsid w:val="003D564A"/>
    <w:rPr>
      <w:b w:val="0"/>
    </w:rPr>
  </w:style>
  <w:style w:type="paragraph" w:customStyle="1" w:styleId="TWHeading4noTOC">
    <w:name w:val="TW_Heading4_noTOC"/>
    <w:basedOn w:val="TebwordHeading4"/>
    <w:next w:val="Normln"/>
    <w:rsid w:val="003D564A"/>
    <w:rPr>
      <w:b w:val="0"/>
    </w:rPr>
  </w:style>
  <w:style w:type="paragraph" w:customStyle="1" w:styleId="Bold14voor">
    <w:name w:val="Bold 14 voor"/>
    <w:basedOn w:val="Normln"/>
    <w:rsid w:val="00EA5F5C"/>
    <w:pPr>
      <w:widowControl w:val="0"/>
      <w:spacing w:before="280" w:line="280" w:lineRule="atLeast"/>
    </w:pPr>
    <w:rPr>
      <w:b/>
      <w:szCs w:val="20"/>
      <w:lang w:eastAsia="cs-CZ"/>
    </w:rPr>
  </w:style>
  <w:style w:type="paragraph" w:styleId="Zkladntext">
    <w:name w:val="Body Text"/>
    <w:aliases w:val="termo,termo Char,termo Char Char,termo Char Char Char Char Char,()odstaved,Body Text Char1,Body Text Char Char,termo Char2 Char,termo Char Char1 Char,termo Char Char Char Char,termo Char Char Char Char Char Char Char,()odstaved Char Char"/>
    <w:basedOn w:val="Normln"/>
    <w:link w:val="ZkladntextChar"/>
    <w:rsid w:val="006048AA"/>
    <w:pPr>
      <w:widowControl w:val="0"/>
      <w:spacing w:line="280" w:lineRule="atLeast"/>
    </w:pPr>
    <w:rPr>
      <w:szCs w:val="20"/>
      <w:lang w:val="nl" w:eastAsia="nl-NL"/>
    </w:rPr>
  </w:style>
  <w:style w:type="paragraph" w:customStyle="1" w:styleId="Headerextra">
    <w:name w:val="Header_extra"/>
    <w:basedOn w:val="Normln"/>
    <w:next w:val="Normln"/>
    <w:rsid w:val="008A1681"/>
    <w:pPr>
      <w:keepNext/>
      <w:widowControl w:val="0"/>
      <w:spacing w:before="120" w:after="120" w:line="280" w:lineRule="atLeast"/>
    </w:pPr>
    <w:rPr>
      <w:b/>
      <w:kern w:val="28"/>
      <w:sz w:val="24"/>
      <w:szCs w:val="20"/>
      <w:lang w:val="nl" w:eastAsia="nl-NL"/>
    </w:rPr>
  </w:style>
  <w:style w:type="paragraph" w:customStyle="1" w:styleId="Kopbijlage">
    <w:name w:val="Kop_bijlage"/>
    <w:basedOn w:val="Normln"/>
    <w:rsid w:val="0040428E"/>
    <w:pPr>
      <w:spacing w:before="120" w:after="120"/>
    </w:pPr>
    <w:rPr>
      <w:b/>
    </w:rPr>
  </w:style>
  <w:style w:type="paragraph" w:styleId="Obsah5">
    <w:name w:val="toc 5"/>
    <w:basedOn w:val="Obsah1"/>
    <w:next w:val="Normln"/>
    <w:autoRedefine/>
    <w:semiHidden/>
    <w:rsid w:val="00604F0D"/>
    <w:pPr>
      <w:spacing w:before="0"/>
      <w:ind w:left="570"/>
    </w:pPr>
    <w:rPr>
      <w:rFonts w:ascii="Times New Roman" w:hAnsi="Times New Roman" w:cs="Times New Roman"/>
      <w:b w:val="0"/>
      <w:bCs w:val="0"/>
      <w:caps/>
      <w:sz w:val="20"/>
      <w:szCs w:val="20"/>
    </w:rPr>
  </w:style>
  <w:style w:type="paragraph" w:customStyle="1" w:styleId="KopbijlagenoBold">
    <w:name w:val="Kop_bijlage_noBold"/>
    <w:basedOn w:val="Kopbijlage"/>
    <w:rsid w:val="00974726"/>
    <w:rPr>
      <w:b w:val="0"/>
    </w:rPr>
  </w:style>
  <w:style w:type="paragraph" w:styleId="Obsah6">
    <w:name w:val="toc 6"/>
    <w:basedOn w:val="Normln"/>
    <w:next w:val="Normln"/>
    <w:autoRedefine/>
    <w:semiHidden/>
    <w:rsid w:val="00DB7A93"/>
    <w:pPr>
      <w:ind w:left="760"/>
      <w:jc w:val="left"/>
    </w:pPr>
    <w:rPr>
      <w:rFonts w:ascii="Times New Roman" w:hAnsi="Times New Roman"/>
      <w:sz w:val="20"/>
      <w:szCs w:val="20"/>
    </w:rPr>
  </w:style>
  <w:style w:type="paragraph" w:styleId="Obsah9">
    <w:name w:val="toc 9"/>
    <w:basedOn w:val="Normln"/>
    <w:next w:val="Normln"/>
    <w:autoRedefine/>
    <w:semiHidden/>
    <w:rsid w:val="00EA5F5C"/>
    <w:pPr>
      <w:ind w:left="1330"/>
      <w:jc w:val="left"/>
    </w:pPr>
    <w:rPr>
      <w:rFonts w:ascii="Times New Roman" w:hAnsi="Times New Roman"/>
      <w:sz w:val="20"/>
      <w:szCs w:val="20"/>
    </w:rPr>
  </w:style>
  <w:style w:type="paragraph" w:styleId="Obsah7">
    <w:name w:val="toc 7"/>
    <w:basedOn w:val="Normln"/>
    <w:next w:val="Normln"/>
    <w:autoRedefine/>
    <w:semiHidden/>
    <w:rsid w:val="00DB7A93"/>
    <w:pPr>
      <w:ind w:left="950"/>
      <w:jc w:val="left"/>
    </w:pPr>
    <w:rPr>
      <w:rFonts w:ascii="Times New Roman" w:hAnsi="Times New Roman"/>
      <w:sz w:val="20"/>
      <w:szCs w:val="20"/>
    </w:rPr>
  </w:style>
  <w:style w:type="paragraph" w:styleId="Obsah8">
    <w:name w:val="toc 8"/>
    <w:basedOn w:val="Normln"/>
    <w:next w:val="Normln"/>
    <w:autoRedefine/>
    <w:semiHidden/>
    <w:rsid w:val="00DB7A93"/>
    <w:pPr>
      <w:ind w:left="1140"/>
      <w:jc w:val="left"/>
    </w:pPr>
    <w:rPr>
      <w:rFonts w:ascii="Times New Roman" w:hAnsi="Times New Roman"/>
      <w:sz w:val="20"/>
      <w:szCs w:val="20"/>
    </w:rPr>
  </w:style>
  <w:style w:type="paragraph" w:customStyle="1" w:styleId="Bold">
    <w:name w:val="Bold"/>
    <w:basedOn w:val="Normln"/>
    <w:next w:val="Normln"/>
    <w:rsid w:val="00CC1FFC"/>
    <w:pPr>
      <w:widowControl w:val="0"/>
      <w:spacing w:line="280" w:lineRule="atLeast"/>
    </w:pPr>
    <w:rPr>
      <w:b/>
      <w:szCs w:val="20"/>
      <w:lang w:eastAsia="cs-CZ"/>
    </w:rPr>
  </w:style>
  <w:style w:type="paragraph" w:customStyle="1" w:styleId="Rechts">
    <w:name w:val="Rechts"/>
    <w:basedOn w:val="Normln"/>
    <w:rsid w:val="006B621E"/>
    <w:pPr>
      <w:widowControl w:val="0"/>
      <w:spacing w:line="280" w:lineRule="atLeast"/>
      <w:jc w:val="right"/>
    </w:pPr>
    <w:rPr>
      <w:szCs w:val="20"/>
      <w:lang w:eastAsia="cs-CZ"/>
    </w:rPr>
  </w:style>
  <w:style w:type="paragraph" w:styleId="Rozloendokumentu">
    <w:name w:val="Document Map"/>
    <w:basedOn w:val="Normln"/>
    <w:semiHidden/>
    <w:rsid w:val="00101FF0"/>
    <w:pPr>
      <w:shd w:val="clear" w:color="auto" w:fill="000080"/>
    </w:pPr>
    <w:rPr>
      <w:rFonts w:ascii="Tahoma" w:hAnsi="Tahoma" w:cs="Tahoma"/>
      <w:sz w:val="20"/>
      <w:szCs w:val="20"/>
    </w:rPr>
  </w:style>
  <w:style w:type="character" w:styleId="Siln">
    <w:name w:val="Strong"/>
    <w:qFormat/>
    <w:rsid w:val="00002A86"/>
    <w:rPr>
      <w:b/>
      <w:bCs/>
    </w:rPr>
  </w:style>
  <w:style w:type="character" w:customStyle="1" w:styleId="ZkladntextChar">
    <w:name w:val="Základní text Char"/>
    <w:aliases w:val="termo Char1,termo Char Char1,termo Char Char Char,termo Char Char Char Char Char Char,()odstaved Char,Body Text Char1 Char,Body Text Char Char Char,termo Char2 Char Char,termo Char Char1 Char Char,termo Char Char Char Char Char1"/>
    <w:link w:val="Zkladntext"/>
    <w:rsid w:val="005C58AF"/>
    <w:rPr>
      <w:rFonts w:ascii="Arial" w:hAnsi="Arial"/>
      <w:sz w:val="19"/>
      <w:lang w:val="nl" w:eastAsia="nl-NL" w:bidi="ar-SA"/>
    </w:rPr>
  </w:style>
  <w:style w:type="paragraph" w:customStyle="1" w:styleId="WW-BodyText212">
    <w:name w:val="WW-Body Text 212"/>
    <w:basedOn w:val="Normln"/>
    <w:rsid w:val="00F81DB4"/>
    <w:pPr>
      <w:tabs>
        <w:tab w:val="left" w:pos="1418"/>
        <w:tab w:val="left" w:pos="1560"/>
      </w:tabs>
      <w:suppressAutoHyphens/>
      <w:spacing w:line="240" w:lineRule="auto"/>
      <w:ind w:left="1418" w:hanging="992"/>
    </w:pPr>
    <w:rPr>
      <w:rFonts w:ascii="Times New Roman" w:hAnsi="Times New Roman"/>
      <w:sz w:val="24"/>
      <w:szCs w:val="20"/>
      <w:lang w:eastAsia="ar-SA"/>
    </w:rPr>
  </w:style>
  <w:style w:type="paragraph" w:customStyle="1" w:styleId="Tabulka">
    <w:name w:val="Tabulka"/>
    <w:basedOn w:val="Zkladntext"/>
    <w:rsid w:val="004A063F"/>
    <w:pPr>
      <w:widowControl/>
      <w:spacing w:before="40" w:after="40" w:line="240" w:lineRule="auto"/>
    </w:pPr>
    <w:rPr>
      <w:rFonts w:ascii="Times New Roman" w:hAnsi="Times New Roman"/>
      <w:sz w:val="20"/>
      <w:lang w:val="cs-CZ" w:eastAsia="cs-CZ"/>
    </w:rPr>
  </w:style>
  <w:style w:type="paragraph" w:styleId="Odstavecseseznamem">
    <w:name w:val="List Paragraph"/>
    <w:basedOn w:val="Normln"/>
    <w:uiPriority w:val="34"/>
    <w:qFormat/>
    <w:rsid w:val="00AC621B"/>
    <w:pPr>
      <w:spacing w:line="240" w:lineRule="auto"/>
      <w:ind w:left="720"/>
      <w:jc w:val="left"/>
    </w:pPr>
    <w:rPr>
      <w:rFonts w:ascii="Calibri" w:hAnsi="Calibri" w:cs="Calibri"/>
      <w:sz w:val="22"/>
      <w:szCs w:val="22"/>
      <w:lang w:eastAsia="cs-CZ"/>
    </w:rPr>
  </w:style>
  <w:style w:type="character" w:customStyle="1" w:styleId="Nadpis2Char3">
    <w:name w:val="Nadpis 2 Char3"/>
    <w:aliases w:val="Nadpis 2 Char Char2,KJL:1st Level Char,2 Char,l2 Char,level 2 heading Char,Nadpis2 Char2,Nadpis 21 Char,Nadpis 2 Char Char1 Char,Nadpis 2 Char11 Char,Nadpis 2 Char1 Char1 Char,Nadpis2 Char1 Char,Nadpis 2 Char Char Char Char1 Char"/>
    <w:link w:val="Nadpis2"/>
    <w:rsid w:val="00573622"/>
    <w:rPr>
      <w:rFonts w:ascii="Arial" w:hAnsi="Arial" w:cs="Arial"/>
      <w:b/>
      <w:bCs/>
      <w:iCs/>
      <w:sz w:val="22"/>
      <w:szCs w:val="22"/>
      <w:lang w:eastAsia="en-US"/>
    </w:rPr>
  </w:style>
  <w:style w:type="paragraph" w:styleId="Zkladntextodsazen2">
    <w:name w:val="Body Text Indent 2"/>
    <w:basedOn w:val="Normln"/>
    <w:link w:val="Zkladntextodsazen2Char"/>
    <w:rsid w:val="00573622"/>
    <w:pPr>
      <w:spacing w:after="120" w:line="480" w:lineRule="auto"/>
      <w:ind w:left="283"/>
    </w:pPr>
  </w:style>
  <w:style w:type="character" w:customStyle="1" w:styleId="Zkladntextodsazen2Char">
    <w:name w:val="Základní text odsazený 2 Char"/>
    <w:link w:val="Zkladntextodsazen2"/>
    <w:rsid w:val="00573622"/>
    <w:rPr>
      <w:rFonts w:ascii="Arial" w:hAnsi="Arial"/>
      <w:sz w:val="19"/>
      <w:szCs w:val="24"/>
      <w:lang w:eastAsia="en-US"/>
    </w:rPr>
  </w:style>
  <w:style w:type="paragraph" w:customStyle="1" w:styleId="TPOOdstavec">
    <w:name w:val="TPO Odstavec"/>
    <w:basedOn w:val="Normln"/>
    <w:link w:val="TPOOdstavecChar"/>
    <w:qFormat/>
    <w:rsid w:val="0057362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line="240" w:lineRule="auto"/>
    </w:pPr>
    <w:rPr>
      <w:rFonts w:ascii="Times New Roman" w:hAnsi="Times New Roman"/>
      <w:sz w:val="24"/>
      <w:szCs w:val="20"/>
      <w:lang w:eastAsia="cs-CZ"/>
    </w:rPr>
  </w:style>
  <w:style w:type="character" w:customStyle="1" w:styleId="ZpatChar">
    <w:name w:val="Zápatí Char"/>
    <w:link w:val="Zpat"/>
    <w:uiPriority w:val="99"/>
    <w:rsid w:val="00573622"/>
    <w:rPr>
      <w:rFonts w:ascii="Arial" w:hAnsi="Arial"/>
      <w:sz w:val="19"/>
      <w:szCs w:val="24"/>
      <w:lang w:eastAsia="en-US"/>
    </w:rPr>
  </w:style>
  <w:style w:type="paragraph" w:customStyle="1" w:styleId="Texttabulky">
    <w:name w:val="Text tabulky"/>
    <w:basedOn w:val="Normln"/>
    <w:rsid w:val="00573622"/>
    <w:pPr>
      <w:suppressAutoHyphens/>
      <w:spacing w:before="60" w:after="60" w:line="240" w:lineRule="auto"/>
      <w:jc w:val="left"/>
    </w:pPr>
    <w:rPr>
      <w:sz w:val="18"/>
      <w:szCs w:val="20"/>
      <w:lang w:eastAsia="cs-CZ"/>
    </w:rPr>
  </w:style>
  <w:style w:type="character" w:customStyle="1" w:styleId="TPOOdstavecChar">
    <w:name w:val="TPO Odstavec Char"/>
    <w:link w:val="TPOOdstavec"/>
    <w:rsid w:val="00573622"/>
    <w:rPr>
      <w:sz w:val="24"/>
    </w:rPr>
  </w:style>
  <w:style w:type="character" w:customStyle="1" w:styleId="Nadpis3Char">
    <w:name w:val="Nadpis 3 Char"/>
    <w:aliases w:val="Nadpis 3 velká písmena Char,Titul1 Char,ABB.. Char"/>
    <w:link w:val="Nadpis3"/>
    <w:rsid w:val="00750302"/>
    <w:rPr>
      <w:rFonts w:ascii="Arial" w:hAnsi="Arial" w:cs="Arial"/>
      <w:b/>
      <w:bCs/>
      <w:lang w:eastAsia="en-US"/>
    </w:rPr>
  </w:style>
  <w:style w:type="character" w:customStyle="1" w:styleId="TCR-Headline-Left">
    <w:name w:val="TCR-Headline-Left"/>
    <w:rsid w:val="0030594A"/>
    <w:rPr>
      <w:rFonts w:ascii="Arial" w:hAnsi="Arial"/>
      <w:b/>
      <w:bCs/>
      <w:sz w:val="19"/>
    </w:rPr>
  </w:style>
  <w:style w:type="paragraph" w:customStyle="1" w:styleId="TCR-Odrazka1">
    <w:name w:val="TCR-Odrazka 1"/>
    <w:basedOn w:val="Normln"/>
    <w:rsid w:val="00293412"/>
    <w:pPr>
      <w:numPr>
        <w:numId w:val="5"/>
      </w:numPr>
    </w:pPr>
  </w:style>
  <w:style w:type="paragraph" w:customStyle="1" w:styleId="normln0">
    <w:name w:val="normální"/>
    <w:basedOn w:val="Normln"/>
    <w:link w:val="normlnChar"/>
    <w:rsid w:val="008339EF"/>
    <w:pPr>
      <w:spacing w:line="240" w:lineRule="auto"/>
    </w:pPr>
    <w:rPr>
      <w:rFonts w:ascii="Times New Roman" w:hAnsi="Times New Roman"/>
      <w:sz w:val="24"/>
      <w:szCs w:val="20"/>
      <w:lang w:eastAsia="cs-CZ"/>
    </w:rPr>
  </w:style>
  <w:style w:type="character" w:customStyle="1" w:styleId="normlnChar">
    <w:name w:val="normální Char"/>
    <w:link w:val="normln0"/>
    <w:rsid w:val="008339EF"/>
    <w:rPr>
      <w:sz w:val="24"/>
    </w:rPr>
  </w:style>
  <w:style w:type="paragraph" w:customStyle="1" w:styleId="Pomlka">
    <w:name w:val="Pomlčka"/>
    <w:basedOn w:val="Normln"/>
    <w:autoRedefine/>
    <w:rsid w:val="00011363"/>
    <w:pPr>
      <w:numPr>
        <w:numId w:val="6"/>
      </w:numPr>
      <w:tabs>
        <w:tab w:val="left" w:pos="142"/>
      </w:tabs>
      <w:overflowPunct w:val="0"/>
      <w:autoSpaceDE w:val="0"/>
      <w:autoSpaceDN w:val="0"/>
      <w:adjustRightInd w:val="0"/>
      <w:spacing w:line="240" w:lineRule="auto"/>
      <w:textAlignment w:val="baseline"/>
    </w:pPr>
    <w:rPr>
      <w:color w:val="000000"/>
      <w:szCs w:val="20"/>
      <w:lang w:eastAsia="cs-CZ"/>
    </w:rPr>
  </w:style>
  <w:style w:type="paragraph" w:styleId="Normlnweb">
    <w:name w:val="Normal (Web)"/>
    <w:basedOn w:val="Normln"/>
    <w:uiPriority w:val="99"/>
    <w:unhideWhenUsed/>
    <w:rsid w:val="003D2021"/>
    <w:pPr>
      <w:spacing w:before="100" w:beforeAutospacing="1" w:after="100" w:afterAutospacing="1" w:line="240" w:lineRule="auto"/>
      <w:jc w:val="left"/>
    </w:pPr>
    <w:rPr>
      <w:rFonts w:ascii="Times New Roman" w:hAnsi="Times New Roman"/>
      <w:sz w:val="24"/>
      <w:lang w:eastAsia="cs-CZ"/>
    </w:rPr>
  </w:style>
  <w:style w:type="paragraph" w:styleId="Zkladntextodsazen">
    <w:name w:val="Body Text Indent"/>
    <w:basedOn w:val="Normln"/>
    <w:link w:val="ZkladntextodsazenChar"/>
    <w:rsid w:val="008E6712"/>
    <w:pPr>
      <w:spacing w:after="120" w:line="240" w:lineRule="auto"/>
      <w:ind w:left="283"/>
      <w:jc w:val="left"/>
    </w:pPr>
    <w:rPr>
      <w:rFonts w:ascii="Times New Roman" w:hAnsi="Times New Roman"/>
      <w:sz w:val="20"/>
      <w:szCs w:val="20"/>
      <w:lang w:eastAsia="cs-CZ"/>
    </w:rPr>
  </w:style>
  <w:style w:type="character" w:customStyle="1" w:styleId="ZkladntextodsazenChar">
    <w:name w:val="Základní text odsazený Char"/>
    <w:basedOn w:val="Standardnpsmoodstavce"/>
    <w:link w:val="Zkladntextodsazen"/>
    <w:rsid w:val="008E6712"/>
  </w:style>
  <w:style w:type="paragraph" w:customStyle="1" w:styleId="Prosttext1">
    <w:name w:val="Prostý text1"/>
    <w:basedOn w:val="Normln"/>
    <w:rsid w:val="00A165F9"/>
    <w:pPr>
      <w:suppressAutoHyphens/>
      <w:spacing w:line="240" w:lineRule="auto"/>
      <w:jc w:val="left"/>
    </w:pPr>
    <w:rPr>
      <w:rFonts w:ascii="Courier New" w:hAnsi="Courier New" w:cs="Courier New"/>
      <w:sz w:val="20"/>
      <w:szCs w:val="20"/>
      <w:lang w:eastAsia="ar-SA"/>
    </w:rPr>
  </w:style>
  <w:style w:type="paragraph" w:styleId="Titulek">
    <w:name w:val="caption"/>
    <w:basedOn w:val="Normln"/>
    <w:next w:val="Normln"/>
    <w:unhideWhenUsed/>
    <w:qFormat/>
    <w:rsid w:val="007A0107"/>
    <w:pPr>
      <w:spacing w:after="200" w:line="240" w:lineRule="auto"/>
    </w:pPr>
    <w:rPr>
      <w:i/>
      <w:iCs/>
      <w:color w:val="44546A" w:themeColor="text2"/>
      <w:sz w:val="18"/>
      <w:szCs w:val="18"/>
    </w:rPr>
  </w:style>
  <w:style w:type="paragraph" w:styleId="Zkladntext3">
    <w:name w:val="Body Text 3"/>
    <w:basedOn w:val="Normln"/>
    <w:link w:val="Zkladntext3Char"/>
    <w:rsid w:val="00A51B26"/>
    <w:pPr>
      <w:spacing w:after="120"/>
      <w:ind w:left="357" w:hanging="357"/>
    </w:pPr>
    <w:rPr>
      <w:sz w:val="16"/>
      <w:szCs w:val="16"/>
    </w:rPr>
  </w:style>
  <w:style w:type="character" w:customStyle="1" w:styleId="Zkladntext3Char">
    <w:name w:val="Základní text 3 Char"/>
    <w:basedOn w:val="Standardnpsmoodstavce"/>
    <w:link w:val="Zkladntext3"/>
    <w:rsid w:val="00A51B26"/>
    <w:rPr>
      <w:rFonts w:ascii="Arial" w:hAnsi="Arial"/>
      <w:sz w:val="16"/>
      <w:szCs w:val="16"/>
      <w:lang w:eastAsia="en-US"/>
    </w:rPr>
  </w:style>
  <w:style w:type="paragraph" w:styleId="Prosttext">
    <w:name w:val="Plain Text"/>
    <w:basedOn w:val="Normln"/>
    <w:link w:val="ProsttextChar"/>
    <w:rsid w:val="004A5712"/>
    <w:pPr>
      <w:spacing w:line="240" w:lineRule="auto"/>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rsid w:val="004A5712"/>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079277">
      <w:bodyDiv w:val="1"/>
      <w:marLeft w:val="0"/>
      <w:marRight w:val="0"/>
      <w:marTop w:val="0"/>
      <w:marBottom w:val="0"/>
      <w:divBdr>
        <w:top w:val="none" w:sz="0" w:space="0" w:color="auto"/>
        <w:left w:val="none" w:sz="0" w:space="0" w:color="auto"/>
        <w:bottom w:val="none" w:sz="0" w:space="0" w:color="auto"/>
        <w:right w:val="none" w:sz="0" w:space="0" w:color="auto"/>
      </w:divBdr>
    </w:div>
    <w:div w:id="334459946">
      <w:bodyDiv w:val="1"/>
      <w:marLeft w:val="0"/>
      <w:marRight w:val="0"/>
      <w:marTop w:val="0"/>
      <w:marBottom w:val="0"/>
      <w:divBdr>
        <w:top w:val="none" w:sz="0" w:space="0" w:color="auto"/>
        <w:left w:val="none" w:sz="0" w:space="0" w:color="auto"/>
        <w:bottom w:val="none" w:sz="0" w:space="0" w:color="auto"/>
        <w:right w:val="none" w:sz="0" w:space="0" w:color="auto"/>
      </w:divBdr>
    </w:div>
    <w:div w:id="447969064">
      <w:bodyDiv w:val="1"/>
      <w:marLeft w:val="0"/>
      <w:marRight w:val="0"/>
      <w:marTop w:val="0"/>
      <w:marBottom w:val="0"/>
      <w:divBdr>
        <w:top w:val="none" w:sz="0" w:space="0" w:color="auto"/>
        <w:left w:val="none" w:sz="0" w:space="0" w:color="auto"/>
        <w:bottom w:val="none" w:sz="0" w:space="0" w:color="auto"/>
        <w:right w:val="none" w:sz="0" w:space="0" w:color="auto"/>
      </w:divBdr>
    </w:div>
    <w:div w:id="515728969">
      <w:bodyDiv w:val="1"/>
      <w:marLeft w:val="0"/>
      <w:marRight w:val="0"/>
      <w:marTop w:val="0"/>
      <w:marBottom w:val="0"/>
      <w:divBdr>
        <w:top w:val="none" w:sz="0" w:space="0" w:color="auto"/>
        <w:left w:val="none" w:sz="0" w:space="0" w:color="auto"/>
        <w:bottom w:val="none" w:sz="0" w:space="0" w:color="auto"/>
        <w:right w:val="none" w:sz="0" w:space="0" w:color="auto"/>
      </w:divBdr>
    </w:div>
    <w:div w:id="860389107">
      <w:bodyDiv w:val="1"/>
      <w:marLeft w:val="0"/>
      <w:marRight w:val="0"/>
      <w:marTop w:val="0"/>
      <w:marBottom w:val="0"/>
      <w:divBdr>
        <w:top w:val="none" w:sz="0" w:space="0" w:color="auto"/>
        <w:left w:val="none" w:sz="0" w:space="0" w:color="auto"/>
        <w:bottom w:val="none" w:sz="0" w:space="0" w:color="auto"/>
        <w:right w:val="none" w:sz="0" w:space="0" w:color="auto"/>
      </w:divBdr>
    </w:div>
    <w:div w:id="874926414">
      <w:bodyDiv w:val="1"/>
      <w:marLeft w:val="0"/>
      <w:marRight w:val="0"/>
      <w:marTop w:val="0"/>
      <w:marBottom w:val="0"/>
      <w:divBdr>
        <w:top w:val="none" w:sz="0" w:space="0" w:color="auto"/>
        <w:left w:val="none" w:sz="0" w:space="0" w:color="auto"/>
        <w:bottom w:val="none" w:sz="0" w:space="0" w:color="auto"/>
        <w:right w:val="none" w:sz="0" w:space="0" w:color="auto"/>
      </w:divBdr>
    </w:div>
    <w:div w:id="1030688414">
      <w:bodyDiv w:val="1"/>
      <w:marLeft w:val="0"/>
      <w:marRight w:val="0"/>
      <w:marTop w:val="0"/>
      <w:marBottom w:val="0"/>
      <w:divBdr>
        <w:top w:val="none" w:sz="0" w:space="0" w:color="auto"/>
        <w:left w:val="none" w:sz="0" w:space="0" w:color="auto"/>
        <w:bottom w:val="none" w:sz="0" w:space="0" w:color="auto"/>
        <w:right w:val="none" w:sz="0" w:space="0" w:color="auto"/>
      </w:divBdr>
    </w:div>
    <w:div w:id="1059942936">
      <w:bodyDiv w:val="1"/>
      <w:marLeft w:val="0"/>
      <w:marRight w:val="0"/>
      <w:marTop w:val="0"/>
      <w:marBottom w:val="0"/>
      <w:divBdr>
        <w:top w:val="none" w:sz="0" w:space="0" w:color="auto"/>
        <w:left w:val="none" w:sz="0" w:space="0" w:color="auto"/>
        <w:bottom w:val="none" w:sz="0" w:space="0" w:color="auto"/>
        <w:right w:val="none" w:sz="0" w:space="0" w:color="auto"/>
      </w:divBdr>
    </w:div>
    <w:div w:id="1458138726">
      <w:bodyDiv w:val="1"/>
      <w:marLeft w:val="0"/>
      <w:marRight w:val="0"/>
      <w:marTop w:val="0"/>
      <w:marBottom w:val="0"/>
      <w:divBdr>
        <w:top w:val="none" w:sz="0" w:space="0" w:color="auto"/>
        <w:left w:val="none" w:sz="0" w:space="0" w:color="auto"/>
        <w:bottom w:val="none" w:sz="0" w:space="0" w:color="auto"/>
        <w:right w:val="none" w:sz="0" w:space="0" w:color="auto"/>
      </w:divBdr>
    </w:div>
    <w:div w:id="1585871036">
      <w:bodyDiv w:val="1"/>
      <w:marLeft w:val="0"/>
      <w:marRight w:val="0"/>
      <w:marTop w:val="0"/>
      <w:marBottom w:val="0"/>
      <w:divBdr>
        <w:top w:val="none" w:sz="0" w:space="0" w:color="auto"/>
        <w:left w:val="none" w:sz="0" w:space="0" w:color="auto"/>
        <w:bottom w:val="none" w:sz="0" w:space="0" w:color="auto"/>
        <w:right w:val="none" w:sz="0" w:space="0" w:color="auto"/>
      </w:divBdr>
    </w:div>
    <w:div w:id="1638490186">
      <w:bodyDiv w:val="1"/>
      <w:marLeft w:val="0"/>
      <w:marRight w:val="0"/>
      <w:marTop w:val="0"/>
      <w:marBottom w:val="0"/>
      <w:divBdr>
        <w:top w:val="none" w:sz="0" w:space="0" w:color="auto"/>
        <w:left w:val="none" w:sz="0" w:space="0" w:color="auto"/>
        <w:bottom w:val="none" w:sz="0" w:space="0" w:color="auto"/>
        <w:right w:val="none" w:sz="0" w:space="0" w:color="auto"/>
      </w:divBdr>
    </w:div>
    <w:div w:id="1680160003">
      <w:bodyDiv w:val="1"/>
      <w:marLeft w:val="0"/>
      <w:marRight w:val="0"/>
      <w:marTop w:val="0"/>
      <w:marBottom w:val="0"/>
      <w:divBdr>
        <w:top w:val="none" w:sz="0" w:space="0" w:color="auto"/>
        <w:left w:val="none" w:sz="0" w:space="0" w:color="auto"/>
        <w:bottom w:val="none" w:sz="0" w:space="0" w:color="auto"/>
        <w:right w:val="none" w:sz="0" w:space="0" w:color="auto"/>
      </w:divBdr>
    </w:div>
    <w:div w:id="1704866472">
      <w:bodyDiv w:val="1"/>
      <w:marLeft w:val="0"/>
      <w:marRight w:val="0"/>
      <w:marTop w:val="0"/>
      <w:marBottom w:val="0"/>
      <w:divBdr>
        <w:top w:val="none" w:sz="0" w:space="0" w:color="auto"/>
        <w:left w:val="none" w:sz="0" w:space="0" w:color="auto"/>
        <w:bottom w:val="none" w:sz="0" w:space="0" w:color="auto"/>
        <w:right w:val="none" w:sz="0" w:space="0" w:color="auto"/>
      </w:divBdr>
    </w:div>
    <w:div w:id="1967199038">
      <w:bodyDiv w:val="1"/>
      <w:marLeft w:val="0"/>
      <w:marRight w:val="0"/>
      <w:marTop w:val="0"/>
      <w:marBottom w:val="0"/>
      <w:divBdr>
        <w:top w:val="none" w:sz="0" w:space="0" w:color="auto"/>
        <w:left w:val="none" w:sz="0" w:space="0" w:color="auto"/>
        <w:bottom w:val="none" w:sz="0" w:space="0" w:color="auto"/>
        <w:right w:val="none" w:sz="0" w:space="0" w:color="auto"/>
      </w:divBdr>
    </w:div>
    <w:div w:id="1997030050">
      <w:bodyDiv w:val="1"/>
      <w:marLeft w:val="0"/>
      <w:marRight w:val="0"/>
      <w:marTop w:val="0"/>
      <w:marBottom w:val="0"/>
      <w:divBdr>
        <w:top w:val="none" w:sz="0" w:space="0" w:color="auto"/>
        <w:left w:val="none" w:sz="0" w:space="0" w:color="auto"/>
        <w:bottom w:val="none" w:sz="0" w:space="0" w:color="auto"/>
        <w:right w:val="none" w:sz="0" w:space="0" w:color="auto"/>
      </w:divBdr>
    </w:div>
    <w:div w:id="2003463199">
      <w:bodyDiv w:val="1"/>
      <w:marLeft w:val="0"/>
      <w:marRight w:val="0"/>
      <w:marTop w:val="0"/>
      <w:marBottom w:val="0"/>
      <w:divBdr>
        <w:top w:val="none" w:sz="0" w:space="0" w:color="auto"/>
        <w:left w:val="none" w:sz="0" w:space="0" w:color="auto"/>
        <w:bottom w:val="none" w:sz="0" w:space="0" w:color="auto"/>
        <w:right w:val="none" w:sz="0" w:space="0" w:color="auto"/>
      </w:divBdr>
    </w:div>
    <w:div w:id="2004820589">
      <w:bodyDiv w:val="1"/>
      <w:marLeft w:val="0"/>
      <w:marRight w:val="0"/>
      <w:marTop w:val="0"/>
      <w:marBottom w:val="0"/>
      <w:divBdr>
        <w:top w:val="none" w:sz="0" w:space="0" w:color="auto"/>
        <w:left w:val="none" w:sz="0" w:space="0" w:color="auto"/>
        <w:bottom w:val="none" w:sz="0" w:space="0" w:color="auto"/>
        <w:right w:val="none" w:sz="0" w:space="0" w:color="auto"/>
      </w:divBdr>
    </w:div>
    <w:div w:id="212213999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SAFFE\Hrusky\tech_zprava.dot"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2-07T15:19:05.867"/>
    </inkml:context>
    <inkml:brush xml:id="br0">
      <inkml:brushProperty name="width" value="0.04286" units="cm"/>
      <inkml:brushProperty name="height" value="0.04286" units="cm"/>
      <inkml:brushProperty name="color" value="#1F07F9"/>
    </inkml:brush>
  </inkml:definitions>
  <inkml:trace contextRef="#ctx0" brushRef="#br0">710 496 8355,'0'-4'-349,"2"1"114,1 0 1,0 2 781,2-3 1,0 0 2446,4-3-2499,-2 1 1,6-3 0,2-2 628,1-3-854,5 1 1,-1-5-72,5 1 0,-1-2-157,2-2 1,-1 1 135,1 0 1,-2 2-62,1 2 1,-4-1-1,-1 1 0,-3 0 68,0 4 1,-3 3-46,-4 0 0,-2 2 85,-3 3-96,-1 1 1,-1 3 0,-6 0 0,-3 7 42,-9 6 1,-8 11-218,-11 9 0,-8 10-242,-6 5 0,-3 7-267,-4 5 0,-1 3 424,27-30 1,0 0 0,-25 30-70,26-30 1,1-1-1,-20 23 95,0-3 0,10-8 100,7-2 1,4-7-53,4-3 1,2-8 185,3-2 0,4-4-6,3-3 1,2-2-103,1-3 1,4-3-8,1-3 234,1-3 0,4 2-658,4-6 0,5-6 310,6-8 1,5-8 193,10-6 1,6-9-166,8-9 1,5-4-321,5-5 1,-28 26 0,2-1 303,3-2 1,0-1-1,1 1 1,1-1-3,2-3 1,1 0 59,1 3 0,-1 1 0,0-1 0,0 0 0,-1 4 0,-1 2-13,0 0 1,0 1 0,-3 1 0,0 2-215,31-27 1,-8 11 395,-5 7 0,-12 8 284,-5 8 0,-9 6-145,-5 5 0,-4 4 199,-6 1 0,-1 4-32,-7 3 0,0 5 816,-6 7-945,-5 7 0,-11 13 0,-10 9-165,-8 9 1,-6 2-342,-9 12 0,24-34 0,0 0 69,-5 5 1,1 2-1,1-3 1,-1 0 207,1 2 0,0-2 1,4-3-1,0-2-250,-26 29 0,11-9-481,6-7 1,3-5 427,8-6 0,-2-3 51,4-5-35,-2-1 0,5-4 1,0-3-140,1-4 1,2-2-45,-2 0 1,3-4 21,0-3 0,0-1-546,-2-2 0,0-2 763,-2-3 0,-2-4-350,-1-4 0,-1-3 28,2-2 0,-2-2-25,2-3 446,-5-3 0,2-2 0,-3 1 65,0 1 1,-3 1 459,-6 3 0,1 3-554,-3 1 1,2 5-4,1 1 0,1 2 1001,3 1 0,1-1 1206,5 1 0,2 0-1523,5 0 1,5 0-296,7 3 0,1-3-102,2 1 1,3 0-45,6-1 1,13-4-11,11-3 1,14-3 76,13-7 1,11 1-68,-29 9 0,3-1 0,6 2 0,0 1-1054,4-2 0,3 1 947,0-1 0,2 3 0,0 0 1,0 3-1,2-1 0,-1 0 111,-3 1 0,3 1-180,3 2 1,-2-1 0,-6 2 0,-1-1-1,2 3 1,1-1-252,-5 0 1,0 1 0,-5 0 0,-1 0-82,39-2 1,-8 2-16,-13-3 1,-7 2-16,-10 1 0,-10-1-322,-9 0 1,-3 1 223,-7 0 1,-3-1-13,-6 0 1,-3 0-11,-3-2 1,-1 0-903,-3-2 541,0 0 1,-9-4 0,0 0 0</inkml:trace>
  <inkml:trace contextRef="#ctx0" brushRef="#br0" timeOffset="1">1452 652 8355,'0'-6'2586,"0"3"-1014,0-2-801,0 4 0,-1-2-483,0 3 1,-5 0-111,-4 3 1,-5 4-196,-3 5 1,-3 6 58,-5 5 1,2 1 124,-3-1 0,3 1 42,0-1 1,4-1 75,2-2 0,2-3-48,6-2 1,0-2-45,5-3 0,-2 1-127,5-3 0,0-1-115,2-3 0,1-1 172,0 2 0,6 0-41,3-3 1,3 0-125,1-5 1,5-1 39,1-7 0,6-1 29,4-8 0,1 3 58,-1-4 0,1 1 74,-1 0 0,-1-3-48,-1-2 1,-1-2 115,0 0 0,1-2-280,-6 1 1,2 2 27,-4 3 0,-3 4 85,-5 5 1,-3 0 232,-3 3-33,-1 3 0,-5 3-184,0 0 1,-3 3-146,-5 4 0,-4 5-63,-3 5 1,-9 8-201,-1 5 0,-2 1 268,-1 6 0,5-5 105,2 3 1,3-6-10,5-1 1,4-6-106,3-1 0,1-1-94,2-3 0,2-2 39,6-2 0,-1-1-53,6-1 0,5-2 176,3-2 1,6-2-25,2-5 0,7-3-213,2-6 1,4-4 128,2-6 0,4-3 204,-2-2 0,2-1-136,-2-3 0,1-1-209,3-9 0,0-3 117,5-4 1,-1-2-118,4-6 0,-3 4 136,-1-3 1,-5 8 22,-9 8 1,-11 11 24,-10 9 1,-9 6 6,-2 5 1,-6 5-119,-5 0 0,-8 11-158,-11 4 1,-13 14-1,-12 13-705,-6 9 1139,24-18 0,-1 2 0,-2 4 1,0 3-1,-2 2 0,-1 0 1,2 2-1,-1 1 0,3-2 0,1 0 1,3-3-1,3 0 0,-21 28 1118,12-8-1213,9-6 0,10-11 0,6-2 0,6-6 0,5-7 0,5-3-650,3-5 1,6-3-3094,5-3 2697,1-5 0,4-4 0,0-2 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2-07T15:19:05.867"/>
    </inkml:context>
    <inkml:brush xml:id="br0">
      <inkml:brushProperty name="width" value="0.04286" units="cm"/>
      <inkml:brushProperty name="height" value="0.04286" units="cm"/>
      <inkml:brushProperty name="color" value="#1F07F9"/>
    </inkml:brush>
  </inkml:definitions>
  <inkml:trace contextRef="#ctx0" brushRef="#br0">710 496 8355,'0'-4'-349,"2"1"114,1 0 1,0 2 781,2-3 1,0 0 2446,4-3-2499,-2 1 1,6-3 0,2-2 628,1-3-854,5 1 1,-1-5-72,5 1 0,-1-2-157,2-2 1,-1 1 135,1 0 1,-2 2-62,1 2 1,-4-1-1,-1 1 0,-3 0 68,0 4 1,-3 3-46,-4 0 0,-2 2 85,-3 3-96,-1 1 1,-1 3 0,-6 0 0,-3 7 42,-9 6 1,-8 11-218,-11 9 0,-8 10-242,-6 5 0,-3 7-267,-4 5 0,-1 3 424,27-30 1,0 0 0,-25 30-70,26-30 1,1-1-1,-20 23 95,0-3 0,10-8 100,7-2 1,4-7-53,4-3 1,2-8 185,3-2 0,4-4-6,3-3 1,2-2-103,1-3 1,4-3-8,1-3 234,1-3 0,4 2-658,4-6 0,5-6 310,6-8 1,5-8 193,10-6 1,6-9-166,8-9 1,5-4-321,5-5 1,-28 26 0,2-1 303,3-2 1,0-1-1,1 1 1,1-1-3,2-3 1,1 0 59,1 3 0,-1 1 0,0-1 0,0 0 0,-1 4 0,-1 2-13,0 0 1,0 1 0,-3 1 0,0 2-215,31-27 1,-8 11 395,-5 7 0,-12 8 284,-5 8 0,-9 6-145,-5 5 0,-4 4 199,-6 1 0,-1 4-32,-7 3 0,0 5 816,-6 7-945,-5 7 0,-11 13 0,-10 9-165,-8 9 1,-6 2-342,-9 12 0,24-34 0,0 0 69,-5 5 1,1 2-1,1-3 1,-1 0 207,1 2 0,0-2 1,4-3-1,0-2-250,-26 29 0,11-9-481,6-7 1,3-5 427,8-6 0,-2-3 51,4-5-35,-2-1 0,5-4 1,0-3-140,1-4 1,2-2-45,-2 0 1,3-4 21,0-3 0,0-1-546,-2-2 0,0-2 763,-2-3 0,-2-4-350,-1-4 0,-1-3 28,2-2 0,-2-2-25,2-3 446,-5-3 0,2-2 0,-3 1 65,0 1 1,-3 1 459,-6 3 0,1 3-554,-3 1 1,2 5-4,1 1 0,1 2 1001,3 1 0,1-1 1206,5 1 0,2 0-1523,5 0 1,5 0-296,7 3 0,1-3-102,2 1 1,3 0-45,6-1 1,13-4-11,11-3 1,14-3 76,13-7 1,11 1-68,-29 9 0,3-1 0,6 2 0,0 1-1054,4-2 0,3 1 947,0-1 0,2 3 0,0 0 1,0 3-1,2-1 0,-1 0 111,-3 1 0,3 1-180,3 2 1,-2-1 0,-6 2 0,-1-1-1,2 3 1,1-1-252,-5 0 1,0 1 0,-5 0 0,-1 0-82,39-2 1,-8 2-16,-13-3 1,-7 2-16,-10 1 0,-10-1-322,-9 0 1,-3 1 223,-7 0 1,-3-1-13,-6 0 1,-3 0-11,-3-2 1,-1 0-903,-3-2 541,0 0 1,-9-4 0,0 0 0</inkml:trace>
  <inkml:trace contextRef="#ctx0" brushRef="#br0" timeOffset="1">1452 652 8355,'0'-6'2586,"0"3"-1014,0-2-801,0 4 0,-1-2-483,0 3 1,-5 0-111,-4 3 1,-5 4-196,-3 5 1,-3 6 58,-5 5 1,2 1 124,-3-1 0,3 1 42,0-1 1,4-1 75,2-2 0,2-3-48,6-2 1,0-2-45,5-3 0,-2 1-127,5-3 0,0-1-115,2-3 0,1-1 172,0 2 0,6 0-41,3-3 1,3 0-125,1-5 1,5-1 39,1-7 0,6-1 29,4-8 0,1 3 58,-1-4 0,1 1 74,-1 0 0,-1-3-48,-1-2 1,-1-2 115,0 0 0,1-2-280,-6 1 1,2 2 27,-4 3 0,-3 4 85,-5 5 1,-3 0 232,-3 3-33,-1 3 0,-5 3-184,0 0 1,-3 3-146,-5 4 0,-4 5-63,-3 5 1,-9 8-201,-1 5 0,-2 1 268,-1 6 0,5-5 105,2 3 1,3-6-10,5-1 1,4-6-106,3-1 0,1-1-94,2-3 0,2-2 39,6-2 0,-1-1-53,6-1 0,5-2 176,3-2 1,6-2-25,2-5 0,7-3-213,2-6 1,4-4 128,2-6 0,4-3 204,-2-2 0,2-1-136,-2-3 0,1-1-209,3-9 0,0-3 117,5-4 1,-1-2-118,4-6 0,-3 4 136,-1-3 1,-5 8 22,-9 8 1,-11 11 24,-10 9 1,-9 6 6,-2 5 1,-6 5-119,-5 0 0,-8 11-158,-11 4 1,-13 14-1,-12 13-705,-6 9 1139,24-18 0,-1 2 0,-2 4 1,0 3-1,-2 2 0,-1 0 1,2 2-1,-1 1 0,3-2 0,1 0 1,3-3-1,3 0 0,-21 28 1118,12-8-1213,9-6 0,10-11 0,6-2 0,6-6 0,5-7 0,5-3-650,3-5 1,6-3-3094,5-3 2697,1-5 0,4-4 0,0-2 1</inkml:trace>
</inkml:ink>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54574690C8946A0C29560DD3CC15C" ma:contentTypeVersion="8" ma:contentTypeDescription="Vytvoří nový dokument" ma:contentTypeScope="" ma:versionID="2e0c8097fb8beec49df3f9f3d544a549">
  <xsd:schema xmlns:xsd="http://www.w3.org/2001/XMLSchema" xmlns:xs="http://www.w3.org/2001/XMLSchema" xmlns:p="http://schemas.microsoft.com/office/2006/metadata/properties" xmlns:ns2="dde360e2-6a7d-47d9-97b4-ab08a580ee8e" targetNamespace="http://schemas.microsoft.com/office/2006/metadata/properties" ma:root="true" ma:fieldsID="5d3e88930767f3daa375e7491e741035" ns2:_="">
    <xsd:import namespace="dde360e2-6a7d-47d9-97b4-ab08a580ee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e360e2-6a7d-47d9-97b4-ab08a580ee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1A33C8-0BA0-4DF3-ABE4-6CB88121E1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BCEEA7-C088-4681-9C1F-0407CE8E86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e360e2-6a7d-47d9-97b4-ab08a580ee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06FD63-0CEF-410B-B96B-DF803EAE0142}">
  <ds:schemaRefs>
    <ds:schemaRef ds:uri="http://schemas.openxmlformats.org/officeDocument/2006/bibliography"/>
  </ds:schemaRefs>
</ds:datastoreItem>
</file>

<file path=customXml/itemProps4.xml><?xml version="1.0" encoding="utf-8"?>
<ds:datastoreItem xmlns:ds="http://schemas.openxmlformats.org/officeDocument/2006/customXml" ds:itemID="{01181A04-0C75-4F18-8D4D-C0D70CA6BA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tech_zprava.dot</Template>
  <TotalTime>4</TotalTime>
  <Pages>13</Pages>
  <Words>3635</Words>
  <Characters>21447</Characters>
  <Application>Microsoft Office Word</Application>
  <DocSecurity>0</DocSecurity>
  <Lines>178</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Report.dot</vt:lpstr>
      <vt:lpstr>Report.dot</vt:lpstr>
    </vt:vector>
  </TitlesOfParts>
  <Company>Nedmetric Applications</Company>
  <LinksUpToDate>false</LinksUpToDate>
  <CharactersWithSpaces>25032</CharactersWithSpaces>
  <SharedDoc>false</SharedDoc>
  <HLinks>
    <vt:vector size="150" baseType="variant">
      <vt:variant>
        <vt:i4>1441852</vt:i4>
      </vt:variant>
      <vt:variant>
        <vt:i4>152</vt:i4>
      </vt:variant>
      <vt:variant>
        <vt:i4>0</vt:i4>
      </vt:variant>
      <vt:variant>
        <vt:i4>5</vt:i4>
      </vt:variant>
      <vt:variant>
        <vt:lpwstr/>
      </vt:variant>
      <vt:variant>
        <vt:lpwstr>_Toc435794411</vt:lpwstr>
      </vt:variant>
      <vt:variant>
        <vt:i4>1441852</vt:i4>
      </vt:variant>
      <vt:variant>
        <vt:i4>146</vt:i4>
      </vt:variant>
      <vt:variant>
        <vt:i4>0</vt:i4>
      </vt:variant>
      <vt:variant>
        <vt:i4>5</vt:i4>
      </vt:variant>
      <vt:variant>
        <vt:lpwstr/>
      </vt:variant>
      <vt:variant>
        <vt:lpwstr>_Toc435794410</vt:lpwstr>
      </vt:variant>
      <vt:variant>
        <vt:i4>1507388</vt:i4>
      </vt:variant>
      <vt:variant>
        <vt:i4>140</vt:i4>
      </vt:variant>
      <vt:variant>
        <vt:i4>0</vt:i4>
      </vt:variant>
      <vt:variant>
        <vt:i4>5</vt:i4>
      </vt:variant>
      <vt:variant>
        <vt:lpwstr/>
      </vt:variant>
      <vt:variant>
        <vt:lpwstr>_Toc435794409</vt:lpwstr>
      </vt:variant>
      <vt:variant>
        <vt:i4>1507388</vt:i4>
      </vt:variant>
      <vt:variant>
        <vt:i4>134</vt:i4>
      </vt:variant>
      <vt:variant>
        <vt:i4>0</vt:i4>
      </vt:variant>
      <vt:variant>
        <vt:i4>5</vt:i4>
      </vt:variant>
      <vt:variant>
        <vt:lpwstr/>
      </vt:variant>
      <vt:variant>
        <vt:lpwstr>_Toc435794408</vt:lpwstr>
      </vt:variant>
      <vt:variant>
        <vt:i4>1507388</vt:i4>
      </vt:variant>
      <vt:variant>
        <vt:i4>128</vt:i4>
      </vt:variant>
      <vt:variant>
        <vt:i4>0</vt:i4>
      </vt:variant>
      <vt:variant>
        <vt:i4>5</vt:i4>
      </vt:variant>
      <vt:variant>
        <vt:lpwstr/>
      </vt:variant>
      <vt:variant>
        <vt:lpwstr>_Toc435794407</vt:lpwstr>
      </vt:variant>
      <vt:variant>
        <vt:i4>1507388</vt:i4>
      </vt:variant>
      <vt:variant>
        <vt:i4>122</vt:i4>
      </vt:variant>
      <vt:variant>
        <vt:i4>0</vt:i4>
      </vt:variant>
      <vt:variant>
        <vt:i4>5</vt:i4>
      </vt:variant>
      <vt:variant>
        <vt:lpwstr/>
      </vt:variant>
      <vt:variant>
        <vt:lpwstr>_Toc435794406</vt:lpwstr>
      </vt:variant>
      <vt:variant>
        <vt:i4>1507388</vt:i4>
      </vt:variant>
      <vt:variant>
        <vt:i4>116</vt:i4>
      </vt:variant>
      <vt:variant>
        <vt:i4>0</vt:i4>
      </vt:variant>
      <vt:variant>
        <vt:i4>5</vt:i4>
      </vt:variant>
      <vt:variant>
        <vt:lpwstr/>
      </vt:variant>
      <vt:variant>
        <vt:lpwstr>_Toc435794405</vt:lpwstr>
      </vt:variant>
      <vt:variant>
        <vt:i4>1507388</vt:i4>
      </vt:variant>
      <vt:variant>
        <vt:i4>110</vt:i4>
      </vt:variant>
      <vt:variant>
        <vt:i4>0</vt:i4>
      </vt:variant>
      <vt:variant>
        <vt:i4>5</vt:i4>
      </vt:variant>
      <vt:variant>
        <vt:lpwstr/>
      </vt:variant>
      <vt:variant>
        <vt:lpwstr>_Toc435794404</vt:lpwstr>
      </vt:variant>
      <vt:variant>
        <vt:i4>1507388</vt:i4>
      </vt:variant>
      <vt:variant>
        <vt:i4>104</vt:i4>
      </vt:variant>
      <vt:variant>
        <vt:i4>0</vt:i4>
      </vt:variant>
      <vt:variant>
        <vt:i4>5</vt:i4>
      </vt:variant>
      <vt:variant>
        <vt:lpwstr/>
      </vt:variant>
      <vt:variant>
        <vt:lpwstr>_Toc435794403</vt:lpwstr>
      </vt:variant>
      <vt:variant>
        <vt:i4>1507388</vt:i4>
      </vt:variant>
      <vt:variant>
        <vt:i4>98</vt:i4>
      </vt:variant>
      <vt:variant>
        <vt:i4>0</vt:i4>
      </vt:variant>
      <vt:variant>
        <vt:i4>5</vt:i4>
      </vt:variant>
      <vt:variant>
        <vt:lpwstr/>
      </vt:variant>
      <vt:variant>
        <vt:lpwstr>_Toc435794402</vt:lpwstr>
      </vt:variant>
      <vt:variant>
        <vt:i4>1507388</vt:i4>
      </vt:variant>
      <vt:variant>
        <vt:i4>92</vt:i4>
      </vt:variant>
      <vt:variant>
        <vt:i4>0</vt:i4>
      </vt:variant>
      <vt:variant>
        <vt:i4>5</vt:i4>
      </vt:variant>
      <vt:variant>
        <vt:lpwstr/>
      </vt:variant>
      <vt:variant>
        <vt:lpwstr>_Toc435794401</vt:lpwstr>
      </vt:variant>
      <vt:variant>
        <vt:i4>1507388</vt:i4>
      </vt:variant>
      <vt:variant>
        <vt:i4>86</vt:i4>
      </vt:variant>
      <vt:variant>
        <vt:i4>0</vt:i4>
      </vt:variant>
      <vt:variant>
        <vt:i4>5</vt:i4>
      </vt:variant>
      <vt:variant>
        <vt:lpwstr/>
      </vt:variant>
      <vt:variant>
        <vt:lpwstr>_Toc435794400</vt:lpwstr>
      </vt:variant>
      <vt:variant>
        <vt:i4>1966139</vt:i4>
      </vt:variant>
      <vt:variant>
        <vt:i4>80</vt:i4>
      </vt:variant>
      <vt:variant>
        <vt:i4>0</vt:i4>
      </vt:variant>
      <vt:variant>
        <vt:i4>5</vt:i4>
      </vt:variant>
      <vt:variant>
        <vt:lpwstr/>
      </vt:variant>
      <vt:variant>
        <vt:lpwstr>_Toc435794399</vt:lpwstr>
      </vt:variant>
      <vt:variant>
        <vt:i4>1966139</vt:i4>
      </vt:variant>
      <vt:variant>
        <vt:i4>74</vt:i4>
      </vt:variant>
      <vt:variant>
        <vt:i4>0</vt:i4>
      </vt:variant>
      <vt:variant>
        <vt:i4>5</vt:i4>
      </vt:variant>
      <vt:variant>
        <vt:lpwstr/>
      </vt:variant>
      <vt:variant>
        <vt:lpwstr>_Toc435794398</vt:lpwstr>
      </vt:variant>
      <vt:variant>
        <vt:i4>1966139</vt:i4>
      </vt:variant>
      <vt:variant>
        <vt:i4>68</vt:i4>
      </vt:variant>
      <vt:variant>
        <vt:i4>0</vt:i4>
      </vt:variant>
      <vt:variant>
        <vt:i4>5</vt:i4>
      </vt:variant>
      <vt:variant>
        <vt:lpwstr/>
      </vt:variant>
      <vt:variant>
        <vt:lpwstr>_Toc435794397</vt:lpwstr>
      </vt:variant>
      <vt:variant>
        <vt:i4>1966139</vt:i4>
      </vt:variant>
      <vt:variant>
        <vt:i4>62</vt:i4>
      </vt:variant>
      <vt:variant>
        <vt:i4>0</vt:i4>
      </vt:variant>
      <vt:variant>
        <vt:i4>5</vt:i4>
      </vt:variant>
      <vt:variant>
        <vt:lpwstr/>
      </vt:variant>
      <vt:variant>
        <vt:lpwstr>_Toc435794396</vt:lpwstr>
      </vt:variant>
      <vt:variant>
        <vt:i4>1966139</vt:i4>
      </vt:variant>
      <vt:variant>
        <vt:i4>56</vt:i4>
      </vt:variant>
      <vt:variant>
        <vt:i4>0</vt:i4>
      </vt:variant>
      <vt:variant>
        <vt:i4>5</vt:i4>
      </vt:variant>
      <vt:variant>
        <vt:lpwstr/>
      </vt:variant>
      <vt:variant>
        <vt:lpwstr>_Toc435794395</vt:lpwstr>
      </vt:variant>
      <vt:variant>
        <vt:i4>1966139</vt:i4>
      </vt:variant>
      <vt:variant>
        <vt:i4>50</vt:i4>
      </vt:variant>
      <vt:variant>
        <vt:i4>0</vt:i4>
      </vt:variant>
      <vt:variant>
        <vt:i4>5</vt:i4>
      </vt:variant>
      <vt:variant>
        <vt:lpwstr/>
      </vt:variant>
      <vt:variant>
        <vt:lpwstr>_Toc435794394</vt:lpwstr>
      </vt:variant>
      <vt:variant>
        <vt:i4>1966139</vt:i4>
      </vt:variant>
      <vt:variant>
        <vt:i4>44</vt:i4>
      </vt:variant>
      <vt:variant>
        <vt:i4>0</vt:i4>
      </vt:variant>
      <vt:variant>
        <vt:i4>5</vt:i4>
      </vt:variant>
      <vt:variant>
        <vt:lpwstr/>
      </vt:variant>
      <vt:variant>
        <vt:lpwstr>_Toc435794393</vt:lpwstr>
      </vt:variant>
      <vt:variant>
        <vt:i4>1966139</vt:i4>
      </vt:variant>
      <vt:variant>
        <vt:i4>38</vt:i4>
      </vt:variant>
      <vt:variant>
        <vt:i4>0</vt:i4>
      </vt:variant>
      <vt:variant>
        <vt:i4>5</vt:i4>
      </vt:variant>
      <vt:variant>
        <vt:lpwstr/>
      </vt:variant>
      <vt:variant>
        <vt:lpwstr>_Toc435794392</vt:lpwstr>
      </vt:variant>
      <vt:variant>
        <vt:i4>1966139</vt:i4>
      </vt:variant>
      <vt:variant>
        <vt:i4>32</vt:i4>
      </vt:variant>
      <vt:variant>
        <vt:i4>0</vt:i4>
      </vt:variant>
      <vt:variant>
        <vt:i4>5</vt:i4>
      </vt:variant>
      <vt:variant>
        <vt:lpwstr/>
      </vt:variant>
      <vt:variant>
        <vt:lpwstr>_Toc435794391</vt:lpwstr>
      </vt:variant>
      <vt:variant>
        <vt:i4>1966139</vt:i4>
      </vt:variant>
      <vt:variant>
        <vt:i4>26</vt:i4>
      </vt:variant>
      <vt:variant>
        <vt:i4>0</vt:i4>
      </vt:variant>
      <vt:variant>
        <vt:i4>5</vt:i4>
      </vt:variant>
      <vt:variant>
        <vt:lpwstr/>
      </vt:variant>
      <vt:variant>
        <vt:lpwstr>_Toc435794390</vt:lpwstr>
      </vt:variant>
      <vt:variant>
        <vt:i4>2031675</vt:i4>
      </vt:variant>
      <vt:variant>
        <vt:i4>20</vt:i4>
      </vt:variant>
      <vt:variant>
        <vt:i4>0</vt:i4>
      </vt:variant>
      <vt:variant>
        <vt:i4>5</vt:i4>
      </vt:variant>
      <vt:variant>
        <vt:lpwstr/>
      </vt:variant>
      <vt:variant>
        <vt:lpwstr>_Toc435794389</vt:lpwstr>
      </vt:variant>
      <vt:variant>
        <vt:i4>2031675</vt:i4>
      </vt:variant>
      <vt:variant>
        <vt:i4>14</vt:i4>
      </vt:variant>
      <vt:variant>
        <vt:i4>0</vt:i4>
      </vt:variant>
      <vt:variant>
        <vt:i4>5</vt:i4>
      </vt:variant>
      <vt:variant>
        <vt:lpwstr/>
      </vt:variant>
      <vt:variant>
        <vt:lpwstr>_Toc435794388</vt:lpwstr>
      </vt:variant>
      <vt:variant>
        <vt:i4>2031675</vt:i4>
      </vt:variant>
      <vt:variant>
        <vt:i4>8</vt:i4>
      </vt:variant>
      <vt:variant>
        <vt:i4>0</vt:i4>
      </vt:variant>
      <vt:variant>
        <vt:i4>5</vt:i4>
      </vt:variant>
      <vt:variant>
        <vt:lpwstr/>
      </vt:variant>
      <vt:variant>
        <vt:lpwstr>_Toc435794387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Report.dot</dc:title>
  <dc:creator>stribrsk</dc:creator>
  <dc:description>Version 4.3</dc:description>
  <cp:lastModifiedBy>Michal Dedek</cp:lastModifiedBy>
  <cp:revision>3</cp:revision>
  <cp:lastPrinted>2021-03-24T08:25:00Z</cp:lastPrinted>
  <dcterms:created xsi:type="dcterms:W3CDTF">2021-03-03T13:09:00Z</dcterms:created>
  <dcterms:modified xsi:type="dcterms:W3CDTF">2021-03-24T08:51:00Z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sSortByName">
    <vt:lpwstr>0</vt:lpwstr>
  </property>
  <property fmtid="{D5CDD505-2E9C-101B-9397-08002B2CF9AE}" pid="3" name="_NEO_SourceTemplate">
    <vt:lpwstr>Report</vt:lpwstr>
  </property>
  <property fmtid="{D5CDD505-2E9C-101B-9397-08002B2CF9AE}" pid="4" name="ContentTypeId">
    <vt:lpwstr>0x01010047054574690C8946A0C29560DD3CC15C</vt:lpwstr>
  </property>
</Properties>
</file>